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6.xml" ContentType="application/vnd.openxmlformats-officedocument.drawingml.chart+xml"/>
  <Override PartName="/word/theme/themeOverride2.xml" ContentType="application/vnd.openxmlformats-officedocument.themeOverride+xml"/>
  <Override PartName="/word/charts/chart7.xml" ContentType="application/vnd.openxmlformats-officedocument.drawingml.chart+xml"/>
  <Override PartName="/word/theme/themeOverride3.xml" ContentType="application/vnd.openxmlformats-officedocument.themeOverride+xml"/>
  <Override PartName="/word/charts/chart8.xml" ContentType="application/vnd.openxmlformats-officedocument.drawingml.chart+xml"/>
  <Override PartName="/word/theme/themeOverride4.xml" ContentType="application/vnd.openxmlformats-officedocument.themeOverride+xml"/>
  <Override PartName="/word/charts/chart9.xml" ContentType="application/vnd.openxmlformats-officedocument.drawingml.chart+xml"/>
  <Override PartName="/word/theme/themeOverride5.xml" ContentType="application/vnd.openxmlformats-officedocument.themeOverride+xml"/>
  <Override PartName="/word/charts/chart10.xml" ContentType="application/vnd.openxmlformats-officedocument.drawingml.chart+xml"/>
  <Override PartName="/word/theme/themeOverride6.xml" ContentType="application/vnd.openxmlformats-officedocument.themeOverride+xml"/>
  <Override PartName="/word/charts/chart11.xml" ContentType="application/vnd.openxmlformats-officedocument.drawingml.chart+xml"/>
  <Override PartName="/word/theme/themeOverride7.xml" ContentType="application/vnd.openxmlformats-officedocument.themeOverride+xml"/>
  <Override PartName="/word/charts/chart12.xml" ContentType="application/vnd.openxmlformats-officedocument.drawingml.chart+xml"/>
  <Override PartName="/word/theme/themeOverride8.xml" ContentType="application/vnd.openxmlformats-officedocument.themeOverride+xml"/>
  <Override PartName="/word/charts/chart13.xml" ContentType="application/vnd.openxmlformats-officedocument.drawingml.chart+xml"/>
  <Override PartName="/word/theme/themeOverride9.xml" ContentType="application/vnd.openxmlformats-officedocument.themeOverride+xml"/>
  <Override PartName="/word/charts/chart14.xml" ContentType="application/vnd.openxmlformats-officedocument.drawingml.chart+xml"/>
  <Override PartName="/word/theme/themeOverride10.xml" ContentType="application/vnd.openxmlformats-officedocument.themeOverride+xml"/>
  <Override PartName="/word/charts/chart15.xml" ContentType="application/vnd.openxmlformats-officedocument.drawingml.chart+xml"/>
  <Override PartName="/word/theme/themeOverride11.xml" ContentType="application/vnd.openxmlformats-officedocument.themeOverride+xml"/>
  <Override PartName="/word/charts/chart16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2.xml" ContentType="application/vnd.openxmlformats-officedocument.themeOverride+xml"/>
  <Override PartName="/word/charts/chart17.xml" ContentType="application/vnd.openxmlformats-officedocument.drawingml.chart+xml"/>
  <Override PartName="/word/theme/themeOverride13.xml" ContentType="application/vnd.openxmlformats-officedocument.themeOverride+xml"/>
  <Override PartName="/word/charts/chart18.xml" ContentType="application/vnd.openxmlformats-officedocument.drawingml.chart+xml"/>
  <Override PartName="/word/theme/themeOverride14.xml" ContentType="application/vnd.openxmlformats-officedocument.themeOverride+xml"/>
  <Override PartName="/word/charts/chart19.xml" ContentType="application/vnd.openxmlformats-officedocument.drawingml.chart+xml"/>
  <Override PartName="/word/theme/themeOverride15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C52E1" w14:textId="77777777" w:rsidR="00E541CA" w:rsidRDefault="00633132" w:rsidP="008113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23F2">
        <w:rPr>
          <w:rFonts w:ascii="Times New Roman" w:hAnsi="Times New Roman"/>
          <w:b/>
          <w:sz w:val="28"/>
          <w:szCs w:val="28"/>
        </w:rPr>
        <w:t>Мониторинг</w:t>
      </w:r>
    </w:p>
    <w:p w14:paraId="3627F3F6" w14:textId="77777777" w:rsidR="00E541CA" w:rsidRDefault="00633132" w:rsidP="008113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23F2">
        <w:rPr>
          <w:rFonts w:ascii="Times New Roman" w:hAnsi="Times New Roman"/>
          <w:b/>
          <w:sz w:val="28"/>
          <w:szCs w:val="28"/>
        </w:rPr>
        <w:t xml:space="preserve">выполнения основных показателей прогнозов социально-экономического развития на </w:t>
      </w:r>
      <w:r w:rsidR="008113DA" w:rsidRPr="008923F2">
        <w:rPr>
          <w:rFonts w:ascii="Times New Roman" w:hAnsi="Times New Roman"/>
          <w:b/>
          <w:sz w:val="28"/>
          <w:szCs w:val="28"/>
        </w:rPr>
        <w:t xml:space="preserve">среднесрочный </w:t>
      </w:r>
      <w:r w:rsidRPr="008923F2">
        <w:rPr>
          <w:rFonts w:ascii="Times New Roman" w:hAnsi="Times New Roman"/>
          <w:b/>
          <w:sz w:val="28"/>
          <w:szCs w:val="28"/>
        </w:rPr>
        <w:t xml:space="preserve">и </w:t>
      </w:r>
      <w:r w:rsidR="008113DA" w:rsidRPr="008923F2">
        <w:rPr>
          <w:rFonts w:ascii="Times New Roman" w:hAnsi="Times New Roman"/>
          <w:b/>
          <w:sz w:val="28"/>
          <w:szCs w:val="28"/>
        </w:rPr>
        <w:t xml:space="preserve">долгосрочный </w:t>
      </w:r>
      <w:r w:rsidRPr="008923F2">
        <w:rPr>
          <w:rFonts w:ascii="Times New Roman" w:hAnsi="Times New Roman"/>
          <w:b/>
          <w:sz w:val="28"/>
          <w:szCs w:val="28"/>
        </w:rPr>
        <w:t>периоды</w:t>
      </w:r>
    </w:p>
    <w:p w14:paraId="3B259E64" w14:textId="58BBC2AB" w:rsidR="00633132" w:rsidRPr="008923F2" w:rsidRDefault="00FF5645" w:rsidP="008113D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итогам </w:t>
      </w:r>
      <w:r w:rsidR="00633132" w:rsidRPr="008923F2">
        <w:rPr>
          <w:rFonts w:ascii="Times New Roman" w:eastAsia="Times New Roman" w:hAnsi="Times New Roman"/>
          <w:b/>
          <w:sz w:val="28"/>
          <w:szCs w:val="28"/>
          <w:lang w:eastAsia="ru-RU"/>
        </w:rPr>
        <w:t>202</w:t>
      </w:r>
      <w:r w:rsidR="00451023" w:rsidRPr="008923F2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633132" w:rsidRPr="008923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14:paraId="2D3A32A7" w14:textId="77777777" w:rsidR="00633132" w:rsidRPr="008923F2" w:rsidRDefault="00633132" w:rsidP="008113D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CB5FFB8" w14:textId="77777777" w:rsidR="00633132" w:rsidRPr="008923F2" w:rsidRDefault="00633132" w:rsidP="000739F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Мониторинг выполнения основных показателей прогнозов социально-экономического развития осуществляется в целях повышения качества прогнозирования и эффективности управления на региональном уровн</w:t>
      </w:r>
      <w:r w:rsidR="00D21ACC" w:rsidRPr="008923F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D200185" w14:textId="77777777" w:rsidR="00633132" w:rsidRPr="008923F2" w:rsidRDefault="00633132" w:rsidP="000739F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Он включает:</w:t>
      </w:r>
    </w:p>
    <w:p w14:paraId="2FE736B1" w14:textId="382F1311" w:rsidR="00633132" w:rsidRPr="008923F2" w:rsidRDefault="0089267A" w:rsidP="000739F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51023"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3132" w:rsidRPr="008923F2">
        <w:rPr>
          <w:rFonts w:ascii="Times New Roman" w:eastAsia="Times New Roman" w:hAnsi="Times New Roman"/>
          <w:sz w:val="28"/>
          <w:szCs w:val="28"/>
          <w:lang w:eastAsia="ru-RU"/>
        </w:rPr>
        <w:t>мониторинг выполнения основных показателей среднесрочного прогноза, разработанного исполнительными органами Пензенской области;</w:t>
      </w:r>
    </w:p>
    <w:p w14:paraId="5429E2F1" w14:textId="417EDE61" w:rsidR="00633132" w:rsidRPr="008923F2" w:rsidRDefault="0089267A" w:rsidP="000739F4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51023"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3132" w:rsidRPr="008923F2">
        <w:rPr>
          <w:rFonts w:ascii="Times New Roman" w:eastAsia="Times New Roman" w:hAnsi="Times New Roman"/>
          <w:sz w:val="28"/>
          <w:szCs w:val="28"/>
          <w:lang w:eastAsia="ru-RU"/>
        </w:rPr>
        <w:t>мониторинг выполнения основных показателей долгосрочного прогноза, разработанного исполнительн</w:t>
      </w:r>
      <w:r w:rsidR="00AD0763" w:rsidRPr="008923F2">
        <w:rPr>
          <w:rFonts w:ascii="Times New Roman" w:eastAsia="Times New Roman" w:hAnsi="Times New Roman"/>
          <w:sz w:val="28"/>
          <w:szCs w:val="28"/>
          <w:lang w:eastAsia="ru-RU"/>
        </w:rPr>
        <w:t>ыми органами Пензенской области.</w:t>
      </w:r>
    </w:p>
    <w:p w14:paraId="5E444C37" w14:textId="77777777" w:rsidR="000739F4" w:rsidRPr="00A8222A" w:rsidRDefault="000739F4" w:rsidP="000739F4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A8222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Мониторинг проводится в соответствии с Методическими рекомендациями по выполнению основных показателей прогнозов социально-экономического развития на долгосрочный и среднесрочный периоды, утвержденными постановлением Правительства Пензенской области от 28.12.2024 № 1127-пП «Об утверждении Порядка разработки, корректировки, общественного обсуждения, мониторинга и контроля реализации прогнозов социально-экономического развития Пензенской области на долгосрочный и среднесрочный периоды».</w:t>
      </w:r>
    </w:p>
    <w:p w14:paraId="5A793FAD" w14:textId="788CAA82" w:rsidR="000C2565" w:rsidRPr="008923F2" w:rsidRDefault="00633132" w:rsidP="000C256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В мониторинге используются показатели прогноза социально- экономического развития на 202</w:t>
      </w:r>
      <w:r w:rsidR="000243E8" w:rsidRPr="008923F2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 w:rsidR="000243E8" w:rsidRPr="008923F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годы, одобренные распоряжением Правительства Пензенской области </w:t>
      </w:r>
      <w:r w:rsidR="00154EE0"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243E8" w:rsidRPr="008923F2">
        <w:rPr>
          <w:rFonts w:ascii="Times New Roman" w:eastAsia="Times New Roman" w:hAnsi="Times New Roman"/>
          <w:sz w:val="28"/>
          <w:szCs w:val="28"/>
          <w:lang w:eastAsia="ru-RU"/>
        </w:rPr>
        <w:t>28.10.2024</w:t>
      </w:r>
      <w:r w:rsidR="006E3F53"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4EE0"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0243E8" w:rsidRPr="008923F2">
        <w:rPr>
          <w:rFonts w:ascii="Times New Roman" w:eastAsia="Times New Roman" w:hAnsi="Times New Roman"/>
          <w:sz w:val="28"/>
          <w:szCs w:val="28"/>
          <w:lang w:eastAsia="ru-RU"/>
        </w:rPr>
        <w:t>887</w:t>
      </w:r>
      <w:r w:rsidR="00154EE0" w:rsidRPr="008923F2">
        <w:rPr>
          <w:rFonts w:ascii="Times New Roman" w:eastAsia="Times New Roman" w:hAnsi="Times New Roman"/>
          <w:sz w:val="28"/>
          <w:szCs w:val="28"/>
          <w:lang w:eastAsia="ru-RU"/>
        </w:rPr>
        <w:t>-рП</w:t>
      </w:r>
      <w:r w:rsidR="000243E8"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 «О прогнозе социально-экономического развития Пензенской области на 2025 год и на плановый период 2026 и 2027 годов»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D43399"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уточненного варианта прогноза на среднесрочный период и 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прогноза социально-экономического развития Пензенской области на долгосрочный период (до 2035 года), утвержденного распоряжением Правительства Пензенской области от 26.08.2015 №</w:t>
      </w:r>
      <w:r w:rsidR="00451023"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344-рП </w:t>
      </w:r>
      <w:r w:rsidR="00A050CA" w:rsidRPr="008923F2">
        <w:rPr>
          <w:rFonts w:ascii="Times New Roman" w:eastAsia="Times New Roman" w:hAnsi="Times New Roman"/>
          <w:sz w:val="28"/>
          <w:szCs w:val="28"/>
          <w:lang w:eastAsia="ru-RU"/>
        </w:rPr>
        <w:t>«О прогнозе социально-экономического развития Пензенской области на долгосрочный период (до 2035 года)» (с последующими изменениями)</w:t>
      </w:r>
      <w:r w:rsidR="003832F6" w:rsidRPr="008923F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40198B3" w14:textId="77777777" w:rsidR="00633132" w:rsidRPr="008923F2" w:rsidRDefault="00633132" w:rsidP="006D4A6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В качестве индикаторов точности прогнозирования выбраны показатели, по которым существует статистическая информация, позволяющая сопоставить прогнозные значения с фактически сложившимися за отчетный период.</w:t>
      </w:r>
    </w:p>
    <w:p w14:paraId="0C4BE326" w14:textId="77777777" w:rsidR="00633132" w:rsidRPr="008923F2" w:rsidRDefault="00633132" w:rsidP="006D4A6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55CD4B" w14:textId="77777777" w:rsidR="00633132" w:rsidRPr="008923F2" w:rsidRDefault="00633132" w:rsidP="006D4A6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B1A1B2" w14:textId="77777777" w:rsidR="00633132" w:rsidRPr="008923F2" w:rsidRDefault="00633132" w:rsidP="006D4A6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A97E73" w14:textId="77777777" w:rsidR="00D21ACC" w:rsidRPr="008923F2" w:rsidRDefault="00D21ACC" w:rsidP="006D4A6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575139" w14:textId="77777777" w:rsidR="006D4A68" w:rsidRPr="008923F2" w:rsidRDefault="006D4A68" w:rsidP="006D4A6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411CEA" w14:textId="77777777" w:rsidR="006D4A68" w:rsidRPr="008923F2" w:rsidRDefault="006D4A68" w:rsidP="006D4A6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D3B5D8" w14:textId="77777777" w:rsidR="006D4A68" w:rsidRPr="008923F2" w:rsidRDefault="006D4A68" w:rsidP="006D4A6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64CC43" w14:textId="77777777" w:rsidR="00D21ACC" w:rsidRPr="008923F2" w:rsidRDefault="00D21ACC" w:rsidP="006D4A6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FCC895" w14:textId="77777777" w:rsidR="003832F6" w:rsidRPr="008923F2" w:rsidRDefault="003832F6" w:rsidP="006D4A6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A7D657" w14:textId="77777777" w:rsidR="003832F6" w:rsidRPr="008923F2" w:rsidRDefault="003832F6" w:rsidP="006D4A6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D6BC1F" w14:textId="77777777" w:rsidR="00FA47AA" w:rsidRDefault="00FA47AA" w:rsidP="006D4A6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ACE437" w14:textId="77777777" w:rsidR="003C1228" w:rsidRDefault="003C1228" w:rsidP="006D4A6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1034EB" w14:textId="77777777" w:rsidR="003C1228" w:rsidRPr="008923F2" w:rsidRDefault="003C1228" w:rsidP="006D4A6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DB64E8" w14:textId="3982D80F" w:rsidR="00FA47AA" w:rsidRPr="008923F2" w:rsidRDefault="00FA47AA" w:rsidP="006D4A6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BACA56" w14:textId="5A43B446" w:rsidR="00633132" w:rsidRPr="008923F2" w:rsidRDefault="00633132" w:rsidP="00E61208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lastRenderedPageBreak/>
        <w:t>Раздел 1</w:t>
      </w:r>
    </w:p>
    <w:p w14:paraId="783DC05B" w14:textId="77777777" w:rsidR="00E541CA" w:rsidRDefault="00E541CA" w:rsidP="00E61208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E541CA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Ведомственные индексы отклонения</w:t>
      </w:r>
    </w:p>
    <w:p w14:paraId="1570E646" w14:textId="74094D3B" w:rsidR="00633132" w:rsidRPr="008923F2" w:rsidRDefault="00E541CA" w:rsidP="00E61208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по с</w:t>
      </w:r>
      <w:r w:rsidR="00FD586F" w:rsidRPr="00892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реднесрочн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ому</w:t>
      </w:r>
      <w:r w:rsidR="00FD586F" w:rsidRPr="00892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прогноз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у</w:t>
      </w:r>
      <w:r w:rsidR="00633132" w:rsidRPr="00892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социально-экономического развития</w:t>
      </w:r>
    </w:p>
    <w:p w14:paraId="273ED28A" w14:textId="4FEBC445" w:rsidR="00633132" w:rsidRPr="008923F2" w:rsidRDefault="00633132" w:rsidP="00E61208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Пензенской области по итогам 202</w:t>
      </w:r>
      <w:r w:rsidR="00377A47" w:rsidRPr="00892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4</w:t>
      </w:r>
      <w:r w:rsidRPr="00892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года</w:t>
      </w:r>
    </w:p>
    <w:p w14:paraId="301FBA12" w14:textId="77777777" w:rsidR="00633132" w:rsidRPr="008923F2" w:rsidRDefault="00633132" w:rsidP="00E61208">
      <w:pPr>
        <w:spacing w:after="0" w:line="240" w:lineRule="auto"/>
        <w:ind w:firstLine="851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4C321862" w14:textId="520FB516" w:rsidR="00633132" w:rsidRPr="008923F2" w:rsidRDefault="00633132" w:rsidP="00E61208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Среднее значение </w:t>
      </w:r>
      <w:r w:rsidRPr="008923F2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индекса отклонения </w:t>
      </w:r>
      <w:r w:rsidRPr="008923F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прогнозных показателей от фактически сложившихся за 202</w:t>
      </w:r>
      <w:r w:rsidR="00377A47" w:rsidRPr="008923F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Pr="008923F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год по среднесрочному прогнозу по исполнительным органам </w:t>
      </w:r>
      <w:r w:rsidRPr="008923F2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составило </w:t>
      </w:r>
      <w:r w:rsidR="000C2565" w:rsidRPr="008923F2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3,</w:t>
      </w:r>
      <w:r w:rsidR="00045841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22</w:t>
      </w:r>
      <w:r w:rsidRPr="008923F2">
        <w:rPr>
          <w:rFonts w:ascii="Times New Roman" w:eastAsia="Times New Roman" w:hAnsi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% (</w:t>
      </w:r>
      <w:proofErr w:type="spellStart"/>
      <w:r w:rsidR="00377A47" w:rsidRPr="008923F2">
        <w:rPr>
          <w:rFonts w:ascii="Times New Roman" w:eastAsia="Times New Roman" w:hAnsi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справочно</w:t>
      </w:r>
      <w:proofErr w:type="spellEnd"/>
      <w:r w:rsidRPr="008923F2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: за 20</w:t>
      </w:r>
      <w:r w:rsidR="00A50CAF" w:rsidRPr="008923F2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2</w:t>
      </w:r>
      <w:r w:rsidR="00377A47" w:rsidRPr="008923F2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3</w:t>
      </w:r>
      <w:r w:rsidRPr="008923F2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год – </w:t>
      </w:r>
      <w:r w:rsidR="00377A47" w:rsidRPr="008923F2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5,26</w:t>
      </w:r>
      <w:r w:rsidRPr="008923F2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%).</w:t>
      </w:r>
    </w:p>
    <w:p w14:paraId="7DF35C43" w14:textId="77777777" w:rsidR="00AB6BC5" w:rsidRPr="008923F2" w:rsidRDefault="00AB6BC5" w:rsidP="006612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6D2B011" w14:textId="2B7ECBB3" w:rsidR="00633132" w:rsidRDefault="00633132" w:rsidP="006612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23F2">
        <w:rPr>
          <w:rFonts w:ascii="Times New Roman" w:hAnsi="Times New Roman"/>
          <w:b/>
          <w:sz w:val="28"/>
          <w:szCs w:val="28"/>
        </w:rPr>
        <w:t>Ведомственные индексы отклонений по среднесрочному прогнозу, %</w:t>
      </w:r>
    </w:p>
    <w:p w14:paraId="3A15219E" w14:textId="77777777" w:rsidR="00C463FE" w:rsidRDefault="00C463FE" w:rsidP="006612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528378B" w14:textId="6A4A42E6" w:rsidR="00C463FE" w:rsidRDefault="00045841" w:rsidP="006612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DF56DDC" wp14:editId="4F44AA35">
            <wp:extent cx="5940425" cy="5238750"/>
            <wp:effectExtent l="0" t="0" r="0" b="0"/>
            <wp:docPr id="1295427809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E3D14BE0-79F4-B404-4325-B15A1CDB01A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0DA23214" w14:textId="77777777" w:rsidR="00C463FE" w:rsidRDefault="00C463FE" w:rsidP="0063313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FD80C9E" w14:textId="110BD2C9" w:rsidR="00633132" w:rsidRPr="00126ADD" w:rsidRDefault="00633132" w:rsidP="0063313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26ADD">
        <w:rPr>
          <w:rFonts w:ascii="Times New Roman" w:hAnsi="Times New Roman"/>
          <w:sz w:val="28"/>
          <w:szCs w:val="28"/>
        </w:rPr>
        <w:t>Анализ данных мониторинга по среднесрочному прогнозу показал следующее.</w:t>
      </w:r>
    </w:p>
    <w:p w14:paraId="226CA312" w14:textId="3CB8B392" w:rsidR="000C2565" w:rsidRPr="00126ADD" w:rsidRDefault="00C431A1" w:rsidP="000C256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26ADD">
        <w:rPr>
          <w:rFonts w:ascii="Times New Roman" w:hAnsi="Times New Roman"/>
          <w:sz w:val="28"/>
          <w:szCs w:val="28"/>
        </w:rPr>
        <w:t xml:space="preserve">С </w:t>
      </w:r>
      <w:r w:rsidR="000C2565" w:rsidRPr="00126ADD">
        <w:rPr>
          <w:rFonts w:ascii="Times New Roman" w:eastAsia="Times New Roman" w:hAnsi="Times New Roman"/>
          <w:sz w:val="28"/>
          <w:szCs w:val="28"/>
          <w:lang w:eastAsia="ru-RU"/>
        </w:rPr>
        <w:t>наибольшей точностью</w:t>
      </w:r>
      <w:r w:rsidR="00A44D38"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3132" w:rsidRPr="00126ADD">
        <w:rPr>
          <w:rFonts w:ascii="Times New Roman" w:hAnsi="Times New Roman"/>
          <w:sz w:val="28"/>
          <w:szCs w:val="28"/>
        </w:rPr>
        <w:t xml:space="preserve">с отклонением </w:t>
      </w:r>
      <w:r w:rsidR="009F1C64" w:rsidRPr="00126ADD">
        <w:rPr>
          <w:rFonts w:ascii="Times New Roman" w:hAnsi="Times New Roman"/>
          <w:sz w:val="28"/>
          <w:szCs w:val="28"/>
        </w:rPr>
        <w:t>1</w:t>
      </w:r>
      <w:r w:rsidR="003C7219" w:rsidRPr="00126ADD">
        <w:rPr>
          <w:rFonts w:ascii="Times New Roman" w:hAnsi="Times New Roman"/>
          <w:sz w:val="28"/>
          <w:szCs w:val="28"/>
        </w:rPr>
        <w:t>,43</w:t>
      </w:r>
      <w:r w:rsidR="009F1C64" w:rsidRPr="00126ADD">
        <w:rPr>
          <w:rFonts w:ascii="Times New Roman" w:hAnsi="Times New Roman"/>
          <w:sz w:val="28"/>
          <w:szCs w:val="28"/>
        </w:rPr>
        <w:t xml:space="preserve">% </w:t>
      </w:r>
      <w:r w:rsidR="00633132" w:rsidRPr="00126ADD">
        <w:rPr>
          <w:rFonts w:ascii="Times New Roman" w:hAnsi="Times New Roman"/>
          <w:sz w:val="28"/>
          <w:szCs w:val="28"/>
        </w:rPr>
        <w:t>разработан прогноз</w:t>
      </w:r>
      <w:r w:rsidR="00095526" w:rsidRPr="00126ADD">
        <w:rPr>
          <w:rFonts w:ascii="Times New Roman" w:hAnsi="Times New Roman"/>
          <w:sz w:val="28"/>
          <w:szCs w:val="28"/>
        </w:rPr>
        <w:t xml:space="preserve"> </w:t>
      </w:r>
      <w:r w:rsidR="000C2565" w:rsidRPr="00126ADD">
        <w:rPr>
          <w:rFonts w:ascii="Times New Roman" w:hAnsi="Times New Roman"/>
          <w:sz w:val="28"/>
          <w:szCs w:val="28"/>
        </w:rPr>
        <w:t xml:space="preserve">по показателям </w:t>
      </w:r>
      <w:r w:rsidR="00095526" w:rsidRPr="00126ADD">
        <w:rPr>
          <w:rFonts w:ascii="Times New Roman" w:hAnsi="Times New Roman"/>
          <w:sz w:val="28"/>
          <w:szCs w:val="28"/>
        </w:rPr>
        <w:t>Министерства труда, социальной защиты и демографии Пензенской области.</w:t>
      </w:r>
      <w:r w:rsidR="000C2565" w:rsidRPr="00126ADD">
        <w:rPr>
          <w:rFonts w:ascii="Times New Roman" w:hAnsi="Times New Roman"/>
          <w:sz w:val="28"/>
          <w:szCs w:val="28"/>
        </w:rPr>
        <w:t xml:space="preserve"> </w:t>
      </w:r>
      <w:r w:rsidR="00095526" w:rsidRPr="00126ADD">
        <w:rPr>
          <w:rFonts w:ascii="Times New Roman" w:hAnsi="Times New Roman"/>
          <w:sz w:val="28"/>
          <w:szCs w:val="28"/>
        </w:rPr>
        <w:t>Оценка производилась по 9-ти показателям.</w:t>
      </w:r>
    </w:p>
    <w:p w14:paraId="38C71F23" w14:textId="562D0B47" w:rsidR="000D0D6E" w:rsidRPr="00126ADD" w:rsidRDefault="00D50488" w:rsidP="00D5048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26ADD">
        <w:rPr>
          <w:rFonts w:ascii="Times New Roman" w:hAnsi="Times New Roman"/>
          <w:sz w:val="28"/>
          <w:szCs w:val="28"/>
        </w:rPr>
        <w:t xml:space="preserve">Из оценки за 2024 год исключен показатель «Миграционный прирост (убыль)». </w:t>
      </w:r>
      <w:r w:rsidR="003B3F12" w:rsidRPr="00126ADD">
        <w:rPr>
          <w:rFonts w:ascii="Times New Roman" w:hAnsi="Times New Roman"/>
          <w:sz w:val="28"/>
          <w:szCs w:val="28"/>
        </w:rPr>
        <w:t>Высокая волатильность показателя в 2024 году</w:t>
      </w:r>
      <w:r w:rsidR="000739F4" w:rsidRPr="00126ADD">
        <w:rPr>
          <w:rFonts w:ascii="Times New Roman" w:hAnsi="Times New Roman"/>
          <w:sz w:val="28"/>
          <w:szCs w:val="28"/>
        </w:rPr>
        <w:t xml:space="preserve"> и</w:t>
      </w:r>
      <w:r w:rsidR="003B3F12" w:rsidRPr="00126ADD">
        <w:rPr>
          <w:rFonts w:ascii="Times New Roman" w:hAnsi="Times New Roman"/>
          <w:sz w:val="28"/>
          <w:szCs w:val="28"/>
        </w:rPr>
        <w:t xml:space="preserve"> отсутствие оперативной статистической отчетности с августа 2024 года не позволяют осуществлять</w:t>
      </w:r>
      <w:r w:rsidR="00AF432E" w:rsidRPr="00126ADD">
        <w:rPr>
          <w:rFonts w:ascii="Times New Roman" w:hAnsi="Times New Roman"/>
          <w:sz w:val="28"/>
          <w:szCs w:val="28"/>
        </w:rPr>
        <w:t xml:space="preserve"> качественное прогнозирование показателя.</w:t>
      </w:r>
    </w:p>
    <w:p w14:paraId="344EF7C5" w14:textId="1A9A13AC" w:rsidR="002331AD" w:rsidRPr="00126ADD" w:rsidRDefault="00D50488" w:rsidP="002331A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26ADD">
        <w:rPr>
          <w:rFonts w:ascii="Times New Roman" w:hAnsi="Times New Roman"/>
          <w:sz w:val="28"/>
          <w:szCs w:val="28"/>
        </w:rPr>
        <w:lastRenderedPageBreak/>
        <w:t>С погрешностью менее 1% спрогнозированы два показателя – «Численность населения» (0,13%) и «Уровень зарегистрированной безработицы» (0,10%).</w:t>
      </w:r>
    </w:p>
    <w:p w14:paraId="7E710197" w14:textId="59627B58" w:rsidR="002331AD" w:rsidRPr="00126ADD" w:rsidRDefault="002331AD" w:rsidP="002331A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26ADD">
        <w:rPr>
          <w:rFonts w:ascii="Times New Roman" w:hAnsi="Times New Roman"/>
          <w:sz w:val="28"/>
          <w:szCs w:val="28"/>
        </w:rPr>
        <w:t>Достаточно высокая точность прогноза с погрешностью менее 4% отмечается по показателям «Среднемесячный доход от трудовой деятельности» (3,83%), «Коэффициент естественного прироста населения» (3,33%), «Численность рабочей силы в возрасте 15-72 лет» (1,98%), «Реально располагаемые денежные доходы населения» (1,9</w:t>
      </w:r>
      <w:r w:rsidR="000739F4" w:rsidRPr="00126ADD">
        <w:rPr>
          <w:rFonts w:ascii="Times New Roman" w:hAnsi="Times New Roman"/>
          <w:sz w:val="28"/>
          <w:szCs w:val="28"/>
        </w:rPr>
        <w:t>0</w:t>
      </w:r>
      <w:r w:rsidRPr="00126ADD">
        <w:rPr>
          <w:rFonts w:ascii="Times New Roman" w:hAnsi="Times New Roman"/>
          <w:sz w:val="28"/>
          <w:szCs w:val="28"/>
        </w:rPr>
        <w:t>%) и «Среднемесячная номинальная начисленная заработная плата работников организаций в целом по региону» (1,63%).</w:t>
      </w:r>
    </w:p>
    <w:p w14:paraId="2EAFCE13" w14:textId="5924FC7B" w:rsidR="00C23D24" w:rsidRPr="00126ADD" w:rsidRDefault="00D50488" w:rsidP="00D5048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26ADD">
        <w:rPr>
          <w:rFonts w:ascii="Times New Roman" w:hAnsi="Times New Roman"/>
          <w:sz w:val="28"/>
          <w:szCs w:val="28"/>
        </w:rPr>
        <w:t>Наибольшее отклонение</w:t>
      </w:r>
      <w:r w:rsidR="00095526" w:rsidRPr="00126ADD">
        <w:rPr>
          <w:rFonts w:ascii="Times New Roman" w:hAnsi="Times New Roman"/>
          <w:sz w:val="28"/>
          <w:szCs w:val="28"/>
        </w:rPr>
        <w:t xml:space="preserve"> фактически достигнутых показателей от прогнозны</w:t>
      </w:r>
      <w:r w:rsidR="00C23D24" w:rsidRPr="00126ADD">
        <w:rPr>
          <w:rFonts w:ascii="Times New Roman" w:hAnsi="Times New Roman"/>
          <w:sz w:val="28"/>
          <w:szCs w:val="28"/>
        </w:rPr>
        <w:t>х</w:t>
      </w:r>
      <w:r w:rsidR="00095526" w:rsidRPr="00126ADD">
        <w:rPr>
          <w:rFonts w:ascii="Times New Roman" w:hAnsi="Times New Roman"/>
          <w:sz w:val="28"/>
          <w:szCs w:val="28"/>
        </w:rPr>
        <w:t xml:space="preserve"> </w:t>
      </w:r>
      <w:r w:rsidR="00C23D24" w:rsidRPr="00126ADD">
        <w:rPr>
          <w:rFonts w:ascii="Times New Roman" w:hAnsi="Times New Roman"/>
          <w:sz w:val="28"/>
          <w:szCs w:val="28"/>
        </w:rPr>
        <w:t xml:space="preserve">6,25% </w:t>
      </w:r>
      <w:r w:rsidR="002331AD" w:rsidRPr="00126ADD">
        <w:rPr>
          <w:rFonts w:ascii="Times New Roman" w:hAnsi="Times New Roman"/>
          <w:sz w:val="28"/>
          <w:szCs w:val="28"/>
        </w:rPr>
        <w:t>сложилось</w:t>
      </w:r>
      <w:r w:rsidR="00095526" w:rsidRPr="00126ADD">
        <w:rPr>
          <w:rFonts w:ascii="Times New Roman" w:hAnsi="Times New Roman"/>
          <w:sz w:val="28"/>
          <w:szCs w:val="28"/>
        </w:rPr>
        <w:t xml:space="preserve"> </w:t>
      </w:r>
      <w:r w:rsidR="00C23D24" w:rsidRPr="00126ADD">
        <w:rPr>
          <w:rFonts w:ascii="Times New Roman" w:hAnsi="Times New Roman"/>
          <w:sz w:val="28"/>
          <w:szCs w:val="28"/>
        </w:rPr>
        <w:t xml:space="preserve">по </w:t>
      </w:r>
      <w:r w:rsidR="00095526" w:rsidRPr="00126ADD">
        <w:rPr>
          <w:rFonts w:ascii="Times New Roman" w:hAnsi="Times New Roman"/>
          <w:sz w:val="28"/>
          <w:szCs w:val="28"/>
        </w:rPr>
        <w:t>показател</w:t>
      </w:r>
      <w:r w:rsidR="00C23D24" w:rsidRPr="00126ADD">
        <w:rPr>
          <w:rFonts w:ascii="Times New Roman" w:hAnsi="Times New Roman"/>
          <w:sz w:val="28"/>
          <w:szCs w:val="28"/>
        </w:rPr>
        <w:t>ю «Численность безработных, зарегистрированных в органах государственной службы занятости».</w:t>
      </w:r>
      <w:r w:rsidRPr="00126ADD">
        <w:rPr>
          <w:rFonts w:ascii="Times New Roman" w:hAnsi="Times New Roman"/>
          <w:sz w:val="28"/>
          <w:szCs w:val="28"/>
        </w:rPr>
        <w:t xml:space="preserve"> Необходимо</w:t>
      </w:r>
      <w:r w:rsidR="00C23D24" w:rsidRPr="00126ADD">
        <w:rPr>
          <w:rFonts w:ascii="Times New Roman" w:hAnsi="Times New Roman"/>
          <w:sz w:val="28"/>
          <w:szCs w:val="28"/>
        </w:rPr>
        <w:t xml:space="preserve"> отметить, что по указанному показателю имеется ежемесячная статистическая отчетность, которая позволяет максимально точно спрогнозировать динамику в целом по году, и </w:t>
      </w:r>
      <w:r w:rsidRPr="00126ADD">
        <w:rPr>
          <w:rFonts w:ascii="Times New Roman" w:hAnsi="Times New Roman"/>
          <w:sz w:val="28"/>
          <w:szCs w:val="28"/>
        </w:rPr>
        <w:t xml:space="preserve">улучшить </w:t>
      </w:r>
      <w:r w:rsidR="00C23D24" w:rsidRPr="00126ADD">
        <w:rPr>
          <w:rFonts w:ascii="Times New Roman" w:hAnsi="Times New Roman"/>
          <w:sz w:val="28"/>
          <w:szCs w:val="28"/>
        </w:rPr>
        <w:t>качес</w:t>
      </w:r>
      <w:r w:rsidRPr="00126ADD">
        <w:rPr>
          <w:rFonts w:ascii="Times New Roman" w:hAnsi="Times New Roman"/>
          <w:sz w:val="28"/>
          <w:szCs w:val="28"/>
        </w:rPr>
        <w:t>тво прогнозирования.</w:t>
      </w:r>
    </w:p>
    <w:p w14:paraId="20851A89" w14:textId="36CADBCF" w:rsidR="00777B6C" w:rsidRPr="00126ADD" w:rsidRDefault="00C15FDC" w:rsidP="0009552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77B6C" w:rsidRPr="00126ADD">
        <w:rPr>
          <w:rFonts w:ascii="Times New Roman" w:hAnsi="Times New Roman"/>
          <w:sz w:val="28"/>
          <w:szCs w:val="28"/>
        </w:rPr>
        <w:t xml:space="preserve">о показателю </w:t>
      </w:r>
      <w:r>
        <w:rPr>
          <w:rFonts w:ascii="Times New Roman" w:hAnsi="Times New Roman"/>
          <w:sz w:val="28"/>
          <w:szCs w:val="28"/>
        </w:rPr>
        <w:t>Министерства</w:t>
      </w:r>
      <w:r w:rsidRPr="00126ADD">
        <w:rPr>
          <w:rFonts w:ascii="Times New Roman" w:hAnsi="Times New Roman"/>
          <w:sz w:val="28"/>
          <w:szCs w:val="28"/>
        </w:rPr>
        <w:t xml:space="preserve"> здравоохранения Пензенской области </w:t>
      </w:r>
      <w:r w:rsidR="00B22FFC" w:rsidRPr="00126ADD">
        <w:rPr>
          <w:rFonts w:ascii="Times New Roman" w:hAnsi="Times New Roman"/>
          <w:sz w:val="28"/>
          <w:szCs w:val="28"/>
        </w:rPr>
        <w:t xml:space="preserve">«Ожидаемая продолжительность жизни при рождении» </w:t>
      </w:r>
      <w:r>
        <w:rPr>
          <w:rFonts w:ascii="Times New Roman" w:hAnsi="Times New Roman"/>
          <w:sz w:val="28"/>
          <w:szCs w:val="28"/>
        </w:rPr>
        <w:t>отклонение составило</w:t>
      </w:r>
      <w:r w:rsidR="00777B6C" w:rsidRPr="00126ADD">
        <w:rPr>
          <w:rFonts w:ascii="Times New Roman" w:hAnsi="Times New Roman"/>
          <w:sz w:val="28"/>
          <w:szCs w:val="28"/>
        </w:rPr>
        <w:t xml:space="preserve"> </w:t>
      </w:r>
      <w:r w:rsidR="00B22FFC" w:rsidRPr="00126ADD">
        <w:rPr>
          <w:rFonts w:ascii="Times New Roman" w:hAnsi="Times New Roman"/>
          <w:sz w:val="28"/>
          <w:szCs w:val="28"/>
        </w:rPr>
        <w:t>1,71</w:t>
      </w:r>
      <w:r w:rsidR="00777B6C" w:rsidRPr="00126ADD">
        <w:rPr>
          <w:rFonts w:ascii="Times New Roman" w:hAnsi="Times New Roman"/>
          <w:sz w:val="28"/>
          <w:szCs w:val="28"/>
        </w:rPr>
        <w:t>%.</w:t>
      </w:r>
      <w:r w:rsidR="00B22FFC" w:rsidRPr="00126ADD">
        <w:rPr>
          <w:rFonts w:ascii="Times New Roman" w:hAnsi="Times New Roman"/>
          <w:sz w:val="28"/>
          <w:szCs w:val="28"/>
        </w:rPr>
        <w:t xml:space="preserve"> При этом стоит отметить, что официальная статистическая отчетность по этому показателю отсутствует, а при расчете </w:t>
      </w:r>
      <w:r w:rsidR="002331AD" w:rsidRPr="00126ADD">
        <w:rPr>
          <w:rFonts w:ascii="Times New Roman" w:hAnsi="Times New Roman"/>
          <w:sz w:val="28"/>
          <w:szCs w:val="28"/>
        </w:rPr>
        <w:t>использовалась ведомственная оценка показателя.</w:t>
      </w:r>
    </w:p>
    <w:p w14:paraId="75F57B07" w14:textId="338DF93E" w:rsidR="00A3621C" w:rsidRPr="002C4D95" w:rsidRDefault="00C15FDC" w:rsidP="00A3621C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15FDC">
        <w:rPr>
          <w:rFonts w:ascii="Times New Roman" w:hAnsi="Times New Roman"/>
          <w:sz w:val="28"/>
          <w:szCs w:val="28"/>
        </w:rPr>
        <w:t xml:space="preserve">С высокой точностью (отклонение </w:t>
      </w:r>
      <w:r w:rsidRPr="00C15F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1,73%) </w:t>
      </w:r>
      <w:r w:rsidRPr="00C15FDC">
        <w:rPr>
          <w:rFonts w:ascii="Times New Roman" w:hAnsi="Times New Roman"/>
          <w:sz w:val="28"/>
          <w:szCs w:val="28"/>
        </w:rPr>
        <w:t xml:space="preserve">разработан прогноз </w:t>
      </w:r>
      <w:r w:rsidRPr="00C15F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</w:t>
      </w:r>
      <w:r w:rsidR="00C51A18" w:rsidRPr="00C15F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 показателям</w:t>
      </w:r>
      <w:r w:rsidR="00A3621C" w:rsidRPr="00C15F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Министерства сельского хозяйства Пензенской облас</w:t>
      </w:r>
      <w:r w:rsidR="00C51A18" w:rsidRPr="00C15F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ти</w:t>
      </w:r>
      <w:r w:rsidRPr="00C15F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Н</w:t>
      </w:r>
      <w:r w:rsidR="002331AD" w:rsidRPr="00C15F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аименьшая погрешность отмечается по показателю</w:t>
      </w:r>
      <w:r w:rsidR="00A3621C" w:rsidRPr="00C15F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«Оборот розничной торговли» 0,26% (2023 год – 3,14</w:t>
      </w:r>
      <w:r w:rsidR="002331AD" w:rsidRPr="00C15F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%). По показателю</w:t>
      </w:r>
      <w:r w:rsidR="00A3621C" w:rsidRPr="00C15F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«Продукция сельского хозяйства» </w:t>
      </w:r>
      <w:r w:rsidR="002331AD" w:rsidRPr="00C15F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отклонение составило</w:t>
      </w:r>
      <w:r w:rsidR="00A3621C" w:rsidRPr="00C15F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2C4D95" w:rsidRPr="00C15F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3,20</w:t>
      </w:r>
      <w:r w:rsidR="00A3621C" w:rsidRPr="00C15F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 (2023 год – 3,85%).</w:t>
      </w:r>
    </w:p>
    <w:p w14:paraId="5EEDEA05" w14:textId="4709225C" w:rsidR="002F5E0E" w:rsidRPr="00126ADD" w:rsidRDefault="00DD28BB" w:rsidP="002F5E0E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Ведомственный индекс отклонения </w:t>
      </w:r>
      <w:r w:rsidR="002F5E0E"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жилищно-коммунального хозяйства и гражданской защиты населения </w:t>
      </w:r>
      <w:r w:rsidR="002331AD" w:rsidRPr="00126ADD">
        <w:rPr>
          <w:rFonts w:ascii="Times New Roman" w:eastAsia="Times New Roman" w:hAnsi="Times New Roman"/>
          <w:sz w:val="28"/>
          <w:szCs w:val="28"/>
          <w:lang w:eastAsia="ru-RU"/>
        </w:rPr>
        <w:t>составил 3,38%. Оценка производилась по трем показателям</w:t>
      </w:r>
      <w:r w:rsidR="002F5E0E"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331AD" w:rsidRPr="00126ADD">
        <w:rPr>
          <w:rFonts w:ascii="Times New Roman" w:eastAsia="Times New Roman" w:hAnsi="Times New Roman"/>
          <w:sz w:val="28"/>
          <w:szCs w:val="28"/>
          <w:lang w:eastAsia="ru-RU"/>
        </w:rPr>
        <w:t>С высокой точностью</w:t>
      </w:r>
      <w:r w:rsidR="002F5E0E"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, с отклонением </w:t>
      </w:r>
      <w:r w:rsidR="002F699D" w:rsidRPr="00126ADD">
        <w:rPr>
          <w:rFonts w:ascii="Times New Roman" w:eastAsia="Times New Roman" w:hAnsi="Times New Roman"/>
          <w:sz w:val="28"/>
          <w:szCs w:val="28"/>
          <w:lang w:eastAsia="ru-RU"/>
        </w:rPr>
        <w:t>0,42</w:t>
      </w:r>
      <w:r w:rsidR="002F5E0E"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%, спрогнозирован показатель </w:t>
      </w:r>
      <w:r w:rsidR="002F699D"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«Потребление электроэнергии». По показателям </w:t>
      </w:r>
      <w:r w:rsidR="002F5E0E" w:rsidRPr="00126ADD">
        <w:rPr>
          <w:rFonts w:ascii="Times New Roman" w:eastAsia="Times New Roman" w:hAnsi="Times New Roman"/>
          <w:sz w:val="28"/>
          <w:szCs w:val="28"/>
          <w:lang w:eastAsia="ru-RU"/>
        </w:rPr>
        <w:t>«С</w:t>
      </w:r>
      <w:r w:rsidR="002331AD" w:rsidRPr="00126ADD">
        <w:rPr>
          <w:rFonts w:ascii="Times New Roman" w:eastAsia="Times New Roman" w:hAnsi="Times New Roman"/>
          <w:sz w:val="28"/>
          <w:szCs w:val="28"/>
          <w:lang w:eastAsia="ru-RU"/>
        </w:rPr>
        <w:t>редние тарифы на электроэнергию</w:t>
      </w:r>
      <w:r w:rsidR="002F5E0E" w:rsidRPr="00126AD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F699D"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 и «Индекс тарифов</w:t>
      </w:r>
      <w:r w:rsidR="002331AD"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 на электроэнергию</w:t>
      </w:r>
      <w:r w:rsidR="002F699D" w:rsidRPr="00126ADD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331AD"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5E0E"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отклонение </w:t>
      </w:r>
      <w:r w:rsidR="002331AD"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от факта составило </w:t>
      </w:r>
      <w:r w:rsidR="002F699D" w:rsidRPr="00126ADD">
        <w:rPr>
          <w:rFonts w:ascii="Times New Roman" w:eastAsia="Times New Roman" w:hAnsi="Times New Roman"/>
          <w:sz w:val="28"/>
          <w:szCs w:val="28"/>
          <w:lang w:eastAsia="ru-RU"/>
        </w:rPr>
        <w:t>4,86</w:t>
      </w:r>
      <w:r w:rsidR="002F5E0E" w:rsidRPr="00126ADD">
        <w:rPr>
          <w:rFonts w:ascii="Times New Roman" w:eastAsia="Times New Roman" w:hAnsi="Times New Roman"/>
          <w:sz w:val="28"/>
          <w:szCs w:val="28"/>
          <w:lang w:eastAsia="ru-RU"/>
        </w:rPr>
        <w:t>%.</w:t>
      </w:r>
    </w:p>
    <w:p w14:paraId="3E075C74" w14:textId="5ABD8647" w:rsidR="00A3621C" w:rsidRPr="00126ADD" w:rsidRDefault="00A3621C" w:rsidP="00A3621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26ADD">
        <w:rPr>
          <w:rFonts w:ascii="Times New Roman" w:hAnsi="Times New Roman"/>
          <w:sz w:val="28"/>
          <w:szCs w:val="28"/>
        </w:rPr>
        <w:t xml:space="preserve">Ведомственный индекс отклонения </w:t>
      </w:r>
      <w:r w:rsidR="00DD28BB" w:rsidRPr="00126ADD">
        <w:rPr>
          <w:rFonts w:ascii="Times New Roman" w:hAnsi="Times New Roman"/>
          <w:sz w:val="28"/>
          <w:szCs w:val="28"/>
        </w:rPr>
        <w:t>по 13-ти показателям</w:t>
      </w:r>
      <w:r w:rsidRPr="00126ADD">
        <w:rPr>
          <w:rFonts w:ascii="Times New Roman" w:hAnsi="Times New Roman"/>
          <w:sz w:val="28"/>
          <w:szCs w:val="28"/>
        </w:rPr>
        <w:t xml:space="preserve"> </w:t>
      </w:r>
      <w:r w:rsidR="00DD28BB" w:rsidRPr="00126ADD">
        <w:rPr>
          <w:rFonts w:ascii="Times New Roman" w:hAnsi="Times New Roman"/>
          <w:sz w:val="28"/>
          <w:szCs w:val="28"/>
        </w:rPr>
        <w:t>Министерства</w:t>
      </w:r>
      <w:r w:rsidRPr="00126ADD">
        <w:rPr>
          <w:rFonts w:ascii="Times New Roman" w:hAnsi="Times New Roman"/>
          <w:sz w:val="28"/>
          <w:szCs w:val="28"/>
        </w:rPr>
        <w:t xml:space="preserve"> экономического развития и промышленности Пензенской области</w:t>
      </w:r>
      <w:r w:rsidRPr="00126ADD">
        <w:rPr>
          <w:rFonts w:ascii="Times New Roman" w:hAnsi="Times New Roman"/>
          <w:i/>
          <w:sz w:val="28"/>
          <w:szCs w:val="28"/>
        </w:rPr>
        <w:t xml:space="preserve"> </w:t>
      </w:r>
      <w:r w:rsidRPr="00126ADD">
        <w:rPr>
          <w:rFonts w:ascii="Times New Roman" w:hAnsi="Times New Roman"/>
          <w:sz w:val="28"/>
          <w:szCs w:val="28"/>
        </w:rPr>
        <w:t xml:space="preserve">составил </w:t>
      </w:r>
      <w:r w:rsidR="00BF5693" w:rsidRPr="00126ADD">
        <w:rPr>
          <w:rFonts w:ascii="Times New Roman" w:hAnsi="Times New Roman"/>
          <w:sz w:val="28"/>
          <w:szCs w:val="28"/>
        </w:rPr>
        <w:t>4,93</w:t>
      </w:r>
      <w:r w:rsidRPr="00126ADD">
        <w:rPr>
          <w:rFonts w:ascii="Times New Roman" w:hAnsi="Times New Roman"/>
          <w:sz w:val="28"/>
          <w:szCs w:val="28"/>
        </w:rPr>
        <w:t>%.</w:t>
      </w:r>
    </w:p>
    <w:p w14:paraId="4ABC0FC2" w14:textId="7225BCA5" w:rsidR="00BF5693" w:rsidRPr="00126ADD" w:rsidRDefault="00DD28BB" w:rsidP="00A3621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26ADD">
        <w:rPr>
          <w:rFonts w:ascii="Times New Roman" w:hAnsi="Times New Roman"/>
          <w:sz w:val="28"/>
          <w:szCs w:val="28"/>
        </w:rPr>
        <w:t>Наибольшая точность прогнозирования отмечается по показателям</w:t>
      </w:r>
      <w:r w:rsidR="00A3621C" w:rsidRPr="00126ADD">
        <w:rPr>
          <w:rFonts w:ascii="Times New Roman" w:hAnsi="Times New Roman"/>
          <w:sz w:val="28"/>
          <w:szCs w:val="28"/>
        </w:rPr>
        <w:t xml:space="preserve"> </w:t>
      </w:r>
      <w:r w:rsidR="00BF5693" w:rsidRPr="00126ADD">
        <w:rPr>
          <w:rFonts w:ascii="Times New Roman" w:hAnsi="Times New Roman"/>
          <w:sz w:val="28"/>
          <w:szCs w:val="28"/>
        </w:rPr>
        <w:t>«</w:t>
      </w:r>
      <w:r w:rsidR="001574C8" w:rsidRPr="00126ADD">
        <w:rPr>
          <w:rFonts w:ascii="Times New Roman" w:hAnsi="Times New Roman"/>
          <w:sz w:val="28"/>
          <w:szCs w:val="28"/>
        </w:rPr>
        <w:t>Количество</w:t>
      </w:r>
      <w:r w:rsidRPr="00126ADD">
        <w:rPr>
          <w:rFonts w:ascii="Times New Roman" w:hAnsi="Times New Roman"/>
          <w:sz w:val="28"/>
          <w:szCs w:val="28"/>
        </w:rPr>
        <w:t xml:space="preserve"> малых и средних предприятий</w:t>
      </w:r>
      <w:r w:rsidR="00BF5693" w:rsidRPr="00126ADD">
        <w:rPr>
          <w:rFonts w:ascii="Times New Roman" w:hAnsi="Times New Roman"/>
          <w:sz w:val="28"/>
          <w:szCs w:val="28"/>
        </w:rPr>
        <w:t>»</w:t>
      </w:r>
      <w:r w:rsidR="001574C8" w:rsidRPr="00126ADD">
        <w:rPr>
          <w:rFonts w:ascii="Times New Roman" w:hAnsi="Times New Roman"/>
          <w:sz w:val="28"/>
          <w:szCs w:val="28"/>
        </w:rPr>
        <w:t xml:space="preserve"> (1,13%) и </w:t>
      </w:r>
      <w:r w:rsidR="00BF5693" w:rsidRPr="00126ADD">
        <w:rPr>
          <w:rFonts w:ascii="Times New Roman" w:hAnsi="Times New Roman"/>
          <w:sz w:val="28"/>
          <w:szCs w:val="28"/>
        </w:rPr>
        <w:t>«</w:t>
      </w:r>
      <w:r w:rsidRPr="00126ADD">
        <w:rPr>
          <w:rFonts w:ascii="Times New Roman" w:hAnsi="Times New Roman"/>
          <w:sz w:val="28"/>
          <w:szCs w:val="28"/>
        </w:rPr>
        <w:t>Индекс производства по виду деятельности «</w:t>
      </w:r>
      <w:r w:rsidR="00BF5693" w:rsidRPr="00126ADD">
        <w:rPr>
          <w:rFonts w:ascii="Times New Roman" w:hAnsi="Times New Roman"/>
          <w:sz w:val="28"/>
          <w:szCs w:val="28"/>
        </w:rPr>
        <w:t>Обрабатывающие производства»</w:t>
      </w:r>
      <w:r w:rsidR="001574C8" w:rsidRPr="00126ADD">
        <w:rPr>
          <w:rFonts w:ascii="Times New Roman" w:hAnsi="Times New Roman"/>
          <w:sz w:val="28"/>
          <w:szCs w:val="28"/>
        </w:rPr>
        <w:t xml:space="preserve"> (1,30%).</w:t>
      </w:r>
    </w:p>
    <w:p w14:paraId="23C77406" w14:textId="23B25B5A" w:rsidR="00AE5401" w:rsidRPr="00126ADD" w:rsidRDefault="00AE5401" w:rsidP="00AE540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26ADD">
        <w:rPr>
          <w:rFonts w:ascii="Times New Roman" w:hAnsi="Times New Roman"/>
          <w:sz w:val="28"/>
          <w:szCs w:val="28"/>
        </w:rPr>
        <w:t xml:space="preserve">Достаточно точно, </w:t>
      </w:r>
      <w:r w:rsidR="00DD28BB" w:rsidRPr="00126ADD">
        <w:rPr>
          <w:rFonts w:ascii="Times New Roman" w:hAnsi="Times New Roman"/>
          <w:sz w:val="28"/>
          <w:szCs w:val="28"/>
        </w:rPr>
        <w:t xml:space="preserve">с погрешностью менее 5%, </w:t>
      </w:r>
      <w:r w:rsidRPr="00126ADD">
        <w:rPr>
          <w:rFonts w:ascii="Times New Roman" w:hAnsi="Times New Roman"/>
          <w:sz w:val="28"/>
          <w:szCs w:val="28"/>
        </w:rPr>
        <w:t xml:space="preserve">спрогнозированы </w:t>
      </w:r>
      <w:r w:rsidR="00DD28BB" w:rsidRPr="00126ADD">
        <w:rPr>
          <w:rFonts w:ascii="Times New Roman" w:hAnsi="Times New Roman"/>
          <w:sz w:val="28"/>
          <w:szCs w:val="28"/>
        </w:rPr>
        <w:t>показатели</w:t>
      </w:r>
      <w:r w:rsidRPr="00126ADD">
        <w:rPr>
          <w:rFonts w:ascii="Times New Roman" w:hAnsi="Times New Roman"/>
          <w:sz w:val="28"/>
          <w:szCs w:val="28"/>
        </w:rPr>
        <w:t>:</w:t>
      </w:r>
    </w:p>
    <w:p w14:paraId="35088888" w14:textId="74CD1566" w:rsidR="00AE5401" w:rsidRPr="00126ADD" w:rsidRDefault="00AE5401" w:rsidP="00AE540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26ADD">
        <w:rPr>
          <w:rFonts w:ascii="Times New Roman" w:hAnsi="Times New Roman"/>
          <w:sz w:val="28"/>
          <w:szCs w:val="28"/>
        </w:rPr>
        <w:t xml:space="preserve"> «Объем платных услуг населению» (2,08%);</w:t>
      </w:r>
    </w:p>
    <w:p w14:paraId="58F65D19" w14:textId="5859B0CC" w:rsidR="00AE5401" w:rsidRPr="00126ADD" w:rsidRDefault="00AE5401" w:rsidP="00A3621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26ADD">
        <w:rPr>
          <w:rFonts w:ascii="Times New Roman" w:hAnsi="Times New Roman"/>
          <w:sz w:val="28"/>
          <w:szCs w:val="28"/>
        </w:rPr>
        <w:t xml:space="preserve"> «Объем инвестиций (в основной капитал) за счет всех источников финансирования» (2,44%);</w:t>
      </w:r>
    </w:p>
    <w:p w14:paraId="545EE67A" w14:textId="25C845D6" w:rsidR="00AE5401" w:rsidRPr="00126ADD" w:rsidRDefault="00AE5401" w:rsidP="00A3621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26ADD">
        <w:rPr>
          <w:rFonts w:ascii="Times New Roman" w:hAnsi="Times New Roman"/>
          <w:sz w:val="28"/>
          <w:szCs w:val="28"/>
        </w:rPr>
        <w:t xml:space="preserve"> «Индекс потребительских цен на конец года» (2,50%);</w:t>
      </w:r>
    </w:p>
    <w:p w14:paraId="099ABDED" w14:textId="10FEE525" w:rsidR="00AE5401" w:rsidRPr="00126ADD" w:rsidRDefault="00AE5401" w:rsidP="00AE540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126ADD">
        <w:rPr>
          <w:rFonts w:ascii="Times New Roman" w:hAnsi="Times New Roman"/>
          <w:sz w:val="28"/>
          <w:szCs w:val="28"/>
        </w:rPr>
        <w:t>«Средняя численность работников малых и средних предприятий, включая микропредприятия (без внешних совместителей)» (3,01%);</w:t>
      </w:r>
    </w:p>
    <w:p w14:paraId="00BE3888" w14:textId="776974CA" w:rsidR="00AE5401" w:rsidRPr="00126ADD" w:rsidRDefault="00AE5401" w:rsidP="00A3621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DD28BB" w:rsidRPr="00126ADD">
        <w:rPr>
          <w:rFonts w:ascii="Times New Roman" w:hAnsi="Times New Roman"/>
          <w:sz w:val="28"/>
          <w:szCs w:val="28"/>
        </w:rPr>
        <w:t xml:space="preserve"> «Экспорт товаров» (3,14%)</w:t>
      </w:r>
    </w:p>
    <w:p w14:paraId="0BA0E6A9" w14:textId="2B7BE51F" w:rsidR="00AE5401" w:rsidRPr="00126ADD" w:rsidRDefault="00AE5401" w:rsidP="00AE540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C51A18">
        <w:rPr>
          <w:rFonts w:ascii="Times New Roman" w:hAnsi="Times New Roman"/>
          <w:sz w:val="28"/>
          <w:szCs w:val="28"/>
        </w:rPr>
        <w:t> </w:t>
      </w:r>
      <w:r w:rsidRPr="00126ADD">
        <w:rPr>
          <w:rFonts w:ascii="Times New Roman" w:hAnsi="Times New Roman"/>
          <w:sz w:val="28"/>
          <w:szCs w:val="28"/>
        </w:rPr>
        <w:t>«Обеспечение электрической энергией, газом и паром; кон</w:t>
      </w:r>
      <w:r w:rsidR="00DD28BB" w:rsidRPr="00126ADD">
        <w:rPr>
          <w:rFonts w:ascii="Times New Roman" w:hAnsi="Times New Roman"/>
          <w:sz w:val="28"/>
          <w:szCs w:val="28"/>
        </w:rPr>
        <w:t>диционирование воздуха» (4,10%).</w:t>
      </w:r>
    </w:p>
    <w:p w14:paraId="5969AE9C" w14:textId="636C6E93" w:rsidR="00AE5401" w:rsidRPr="00126ADD" w:rsidRDefault="00DD28BB" w:rsidP="00DD28BB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1A18">
        <w:rPr>
          <w:rFonts w:ascii="Times New Roman" w:hAnsi="Times New Roman"/>
          <w:sz w:val="28"/>
          <w:szCs w:val="28"/>
        </w:rPr>
        <w:t xml:space="preserve">По показателям «Объем отгруженной продукции промышленных производств» (5,47%), </w:t>
      </w:r>
      <w:r w:rsidR="00A3621C" w:rsidRPr="00C51A18">
        <w:rPr>
          <w:rFonts w:ascii="Times New Roman" w:hAnsi="Times New Roman"/>
          <w:sz w:val="28"/>
          <w:szCs w:val="28"/>
        </w:rPr>
        <w:t>«Обо</w:t>
      </w:r>
      <w:r w:rsidRPr="00C51A18">
        <w:rPr>
          <w:rFonts w:ascii="Times New Roman" w:hAnsi="Times New Roman"/>
          <w:sz w:val="28"/>
          <w:szCs w:val="28"/>
        </w:rPr>
        <w:t>рот малых и средних предприятий</w:t>
      </w:r>
      <w:r w:rsidR="00A3621C" w:rsidRPr="00C51A18">
        <w:rPr>
          <w:rFonts w:ascii="Times New Roman" w:hAnsi="Times New Roman"/>
          <w:sz w:val="28"/>
          <w:szCs w:val="28"/>
        </w:rPr>
        <w:t xml:space="preserve">» </w:t>
      </w:r>
      <w:r w:rsidRPr="00C51A18">
        <w:rPr>
          <w:rFonts w:ascii="Times New Roman" w:hAnsi="Times New Roman"/>
          <w:sz w:val="28"/>
          <w:szCs w:val="28"/>
        </w:rPr>
        <w:t>(6,73%),</w:t>
      </w:r>
      <w:r w:rsidR="00AE5401" w:rsidRPr="00C51A18">
        <w:rPr>
          <w:rFonts w:ascii="Times New Roman" w:hAnsi="Times New Roman"/>
          <w:sz w:val="28"/>
          <w:szCs w:val="28"/>
        </w:rPr>
        <w:t xml:space="preserve"> </w:t>
      </w:r>
      <w:r w:rsidR="00C51A18" w:rsidRPr="00C51A18">
        <w:rPr>
          <w:rFonts w:ascii="Times New Roman" w:hAnsi="Times New Roman"/>
          <w:sz w:val="28"/>
          <w:szCs w:val="28"/>
        </w:rPr>
        <w:t xml:space="preserve">«Индекс </w:t>
      </w:r>
      <w:r w:rsidR="00C51A18" w:rsidRPr="00C51A18">
        <w:rPr>
          <w:rFonts w:ascii="Times New Roman" w:hAnsi="Times New Roman"/>
          <w:sz w:val="28"/>
          <w:szCs w:val="28"/>
        </w:rPr>
        <w:lastRenderedPageBreak/>
        <w:t xml:space="preserve">промышленного производство по виду деятельности </w:t>
      </w:r>
      <w:r w:rsidR="00AE5401" w:rsidRPr="00C51A18">
        <w:rPr>
          <w:rFonts w:ascii="Times New Roman" w:hAnsi="Times New Roman"/>
          <w:sz w:val="28"/>
          <w:szCs w:val="28"/>
        </w:rPr>
        <w:t>«Добыча полезных ископаемых» (6,9%)</w:t>
      </w:r>
      <w:r w:rsidR="00206DB5" w:rsidRPr="00C51A18">
        <w:rPr>
          <w:rFonts w:ascii="Times New Roman" w:hAnsi="Times New Roman"/>
          <w:sz w:val="28"/>
          <w:szCs w:val="28"/>
        </w:rPr>
        <w:t xml:space="preserve"> отклонение не превышает допустимой погрешности 10%.</w:t>
      </w:r>
    </w:p>
    <w:p w14:paraId="44756386" w14:textId="5C192D9E" w:rsidR="004B22ED" w:rsidRPr="00126ADD" w:rsidRDefault="004B22ED" w:rsidP="00F13F0C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Максимальные отклонения сложились по </w:t>
      </w:r>
      <w:r w:rsidR="00AE5401" w:rsidRPr="00126ADD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>ндекс</w:t>
      </w:r>
      <w:r w:rsidR="00AE5401" w:rsidRPr="00126ADD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C51A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промышленного производства по</w:t>
      </w: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 вид</w:t>
      </w:r>
      <w:r w:rsidR="00C51A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деятельности «Водоснабжение; водоотведение, организация сбора и утилизации отходов, деятельность по ликвидации загрязнений» </w:t>
      </w:r>
      <w:r w:rsidR="005C3238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>11%</w:t>
      </w:r>
      <w:r w:rsidR="005C3238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 и «Импорт товаров» </w:t>
      </w:r>
      <w:r w:rsidR="005C3238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>14,29%</w:t>
      </w:r>
      <w:r w:rsidR="005C3238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7C319D4" w14:textId="6A7087D6" w:rsidR="00166B42" w:rsidRPr="00126ADD" w:rsidRDefault="00166B42" w:rsidP="00166B42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Ведомственный индекс отклонения по двум показателям Министерства финансов Пензенской области составил 4,97%, в том числе по показателю «Расходы консолидированного бюджета Пензенской области» отклонение от факта составило 3,04%, по показателю «Доходы консолидированного бюджета Пензенской области» </w:t>
      </w:r>
      <w:r w:rsidR="00383DE3"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>6,91%.</w:t>
      </w:r>
    </w:p>
    <w:p w14:paraId="31E19295" w14:textId="3F401389" w:rsidR="000C60BF" w:rsidRPr="00126ADD" w:rsidRDefault="006428E6" w:rsidP="00DD79D2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0C60BF" w:rsidRPr="00126ADD">
        <w:rPr>
          <w:rFonts w:ascii="Times New Roman" w:eastAsia="Times New Roman" w:hAnsi="Times New Roman"/>
          <w:sz w:val="28"/>
          <w:szCs w:val="28"/>
          <w:lang w:eastAsia="ru-RU"/>
        </w:rPr>
        <w:t>едомственный индекс отклонения по двум показателям Министерства строительства</w:t>
      </w:r>
      <w:r w:rsidR="00166B42" w:rsidRPr="00126ADD">
        <w:rPr>
          <w:rFonts w:ascii="Times New Roman" w:eastAsia="Times New Roman" w:hAnsi="Times New Roman"/>
          <w:sz w:val="28"/>
          <w:szCs w:val="28"/>
          <w:lang w:eastAsia="ru-RU"/>
        </w:rPr>
        <w:t>, транспорта</w:t>
      </w:r>
      <w:r w:rsidR="000C60BF"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 и дорожного хозяйства Пензенской области</w:t>
      </w:r>
      <w:r w:rsidR="000C60BF" w:rsidRPr="00126ADD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0C60BF"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 6,14</w:t>
      </w:r>
      <w:r w:rsidR="00DD79D2" w:rsidRPr="00126ADD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0C60BF" w:rsidRPr="00126AD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D79D2"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0C60BF" w:rsidRPr="00126ADD">
        <w:rPr>
          <w:rFonts w:ascii="Times New Roman" w:eastAsia="Times New Roman" w:hAnsi="Times New Roman"/>
          <w:sz w:val="28"/>
          <w:szCs w:val="28"/>
          <w:lang w:eastAsia="ru-RU"/>
        </w:rPr>
        <w:t>о показателю «Объем работ, выполненных по виду экономической деятельности «Строительство»</w:t>
      </w:r>
      <w:r w:rsidR="0010281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0C60BF"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отклонение </w:t>
      </w: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>от факта составило 4,89</w:t>
      </w:r>
      <w:r w:rsidR="00DD79D2" w:rsidRPr="00126ADD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35009" w:rsidRPr="00126ADD">
        <w:rPr>
          <w:rFonts w:ascii="Times New Roman" w:eastAsia="Times New Roman" w:hAnsi="Times New Roman"/>
          <w:sz w:val="28"/>
          <w:szCs w:val="28"/>
          <w:lang w:eastAsia="ru-RU"/>
        </w:rPr>
        <w:t>по показателю «Ввод в действие жилых домов</w:t>
      </w:r>
      <w:r w:rsidRPr="00126ADD">
        <w:rPr>
          <w:rFonts w:ascii="Times New Roman" w:eastAsia="Times New Roman" w:hAnsi="Times New Roman"/>
          <w:sz w:val="28"/>
          <w:szCs w:val="28"/>
          <w:lang w:eastAsia="ru-RU"/>
        </w:rPr>
        <w:t>» – 7,38%.</w:t>
      </w:r>
    </w:p>
    <w:p w14:paraId="29365F2D" w14:textId="77777777" w:rsidR="00B43A70" w:rsidRDefault="00B43A70" w:rsidP="00AB6BC5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063B3E66" w14:textId="538EE6D6" w:rsidR="00AB6BC5" w:rsidRPr="008923F2" w:rsidRDefault="00AB6BC5" w:rsidP="004C367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Ведомственные индексы отклонения прогнозных показателей</w:t>
      </w:r>
    </w:p>
    <w:p w14:paraId="29D57F63" w14:textId="431DE937" w:rsidR="00AB6BC5" w:rsidRDefault="00AB6BC5" w:rsidP="004C367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по итогам 2024 года</w:t>
      </w:r>
    </w:p>
    <w:p w14:paraId="756FCB87" w14:textId="77777777" w:rsidR="002C4D95" w:rsidRPr="000B3D9B" w:rsidRDefault="002C4D95" w:rsidP="002C4D9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16"/>
          <w:szCs w:val="16"/>
          <w:lang w:eastAsia="ru-RU"/>
        </w:rPr>
      </w:pPr>
    </w:p>
    <w:p w14:paraId="025F9E18" w14:textId="46A840B7" w:rsidR="004C3679" w:rsidRDefault="002C4D95" w:rsidP="002C4D95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16"/>
          <w:szCs w:val="16"/>
          <w:lang w:eastAsia="ru-RU"/>
        </w:rPr>
      </w:pPr>
      <w:r w:rsidRPr="002C4D95">
        <w:rPr>
          <w:noProof/>
          <w:lang w:eastAsia="ru-RU"/>
        </w:rPr>
        <w:drawing>
          <wp:inline distT="0" distB="0" distL="0" distR="0" wp14:anchorId="38FDF2F3" wp14:editId="774EBDF1">
            <wp:extent cx="5940425" cy="3552825"/>
            <wp:effectExtent l="0" t="0" r="3175" b="9525"/>
            <wp:docPr id="57171258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171258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E87DB" w14:textId="230C200F" w:rsidR="004C3679" w:rsidRPr="004C3679" w:rsidRDefault="004C3679" w:rsidP="002C4D95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16"/>
          <w:szCs w:val="16"/>
          <w:lang w:eastAsia="ru-RU"/>
        </w:rPr>
      </w:pPr>
    </w:p>
    <w:p w14:paraId="7D0AEA64" w14:textId="5D2AEEF2" w:rsidR="00AB6BC5" w:rsidRDefault="00AB6BC5" w:rsidP="00AB6BC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*</w:t>
      </w:r>
      <w:r w:rsidR="00086F4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8923F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сопоставимый ведомственный индекс, без учета показателя «Миграционный прирост (убыль)».</w:t>
      </w:r>
    </w:p>
    <w:p w14:paraId="7C2DB1F1" w14:textId="77777777" w:rsidR="00B43A70" w:rsidRDefault="00B43A70" w:rsidP="00AB6BC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62612729" w14:textId="3D2A00EB" w:rsidR="00C15FDC" w:rsidRPr="008923F2" w:rsidRDefault="00854B0E" w:rsidP="00C15FDC">
      <w:pPr>
        <w:spacing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целом по области по среднесрочному прогнозу можно отметить ежегодное повышение точности прогнозирования. В 2024 году сводный областной и</w:t>
      </w:r>
      <w:r w:rsidR="00C15F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ндекс отклонения снизился до 3,22</w:t>
      </w:r>
      <w:r w:rsidRPr="008923F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%.</w:t>
      </w:r>
      <w:r w:rsidR="00C05B4B" w:rsidRPr="008923F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Это минимальное значение за последние 5 лет.</w:t>
      </w:r>
      <w:r w:rsidR="00C15FDC" w:rsidRPr="00C15F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15FDC"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Во всех ведомствах общих индекс отклонения не превышает </w:t>
      </w:r>
      <w:r w:rsidR="00C15FDC">
        <w:rPr>
          <w:rFonts w:ascii="Times New Roman" w:eastAsia="Times New Roman" w:hAnsi="Times New Roman"/>
          <w:sz w:val="28"/>
          <w:szCs w:val="28"/>
          <w:lang w:eastAsia="ru-RU"/>
        </w:rPr>
        <w:t>5%</w:t>
      </w:r>
      <w:r w:rsidR="00C15FDC" w:rsidRPr="008923F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7A6AD48" w14:textId="77777777" w:rsidR="00C15FDC" w:rsidRDefault="00C15FDC" w:rsidP="00854B0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2C43B957" w14:textId="77777777" w:rsidR="003C1228" w:rsidRDefault="003C1228" w:rsidP="00854B0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3009B291" w14:textId="77777777" w:rsidR="004C3679" w:rsidRDefault="00854B0E" w:rsidP="00854B0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lastRenderedPageBreak/>
        <w:t>Динамика сводного индекса отклонения</w:t>
      </w:r>
    </w:p>
    <w:p w14:paraId="2482D57C" w14:textId="27E8FB9E" w:rsidR="00854B0E" w:rsidRDefault="00854B0E" w:rsidP="00854B0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по среднесрочному прогнозу, %</w:t>
      </w:r>
    </w:p>
    <w:p w14:paraId="32D5EF7D" w14:textId="77777777" w:rsidR="00882B66" w:rsidRPr="00C61E3D" w:rsidRDefault="00882B66" w:rsidP="00854B0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16"/>
          <w:szCs w:val="16"/>
          <w:lang w:eastAsia="ru-RU"/>
        </w:rPr>
      </w:pPr>
    </w:p>
    <w:p w14:paraId="4E0B7F9C" w14:textId="2B85B912" w:rsidR="00882B66" w:rsidRDefault="00882B66" w:rsidP="00854B0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44199ED6" wp14:editId="70FF93CF">
            <wp:extent cx="5940425" cy="2774950"/>
            <wp:effectExtent l="0" t="0" r="0" b="0"/>
            <wp:docPr id="1602326980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D9DB0772-1C01-4E52-9579-1F6C441EE53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46086720" w14:textId="77777777" w:rsidR="004C3679" w:rsidRPr="004C3679" w:rsidRDefault="004C3679" w:rsidP="00AB6BC5">
      <w:pPr>
        <w:spacing w:line="240" w:lineRule="auto"/>
        <w:ind w:firstLine="851"/>
        <w:contextualSpacing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27A11806" w14:textId="050A2ADE" w:rsidR="00AB6BC5" w:rsidRPr="008923F2" w:rsidRDefault="00C05B4B" w:rsidP="00AB6BC5">
      <w:pPr>
        <w:spacing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AB6BC5"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лучшилось качество прогнозирования в Министерстве труда, социальной защиты и демографии Пензенской области (погрешность снизилась 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с 3,92</w:t>
      </w:r>
      <w:r w:rsidR="00AB6BC5" w:rsidRPr="008923F2">
        <w:rPr>
          <w:rFonts w:ascii="Times New Roman" w:eastAsia="Times New Roman" w:hAnsi="Times New Roman"/>
          <w:sz w:val="28"/>
          <w:szCs w:val="28"/>
          <w:lang w:eastAsia="ru-RU"/>
        </w:rPr>
        <w:t>% до 1,43%)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 и Министерстве сельского хозяйства Пензенской области (с 4,64% до </w:t>
      </w:r>
      <w:r w:rsidR="009F5C50">
        <w:rPr>
          <w:rFonts w:ascii="Times New Roman" w:eastAsia="Times New Roman" w:hAnsi="Times New Roman"/>
          <w:sz w:val="28"/>
          <w:szCs w:val="28"/>
          <w:lang w:eastAsia="ru-RU"/>
        </w:rPr>
        <w:t>1,73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A04F3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AFD094D" w14:textId="7A985EBD" w:rsidR="00AB6BC5" w:rsidRPr="008923F2" w:rsidRDefault="00C05B4B" w:rsidP="00AB6BC5">
      <w:pPr>
        <w:spacing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Рост</w:t>
      </w:r>
      <w:r w:rsidR="00AB6BC5"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отклонения относительно факта отмечается</w:t>
      </w:r>
      <w:r w:rsidR="00AB6BC5"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в Министерстве строительства</w:t>
      </w:r>
      <w:r w:rsidR="00242039">
        <w:rPr>
          <w:rFonts w:ascii="Times New Roman" w:eastAsia="Times New Roman" w:hAnsi="Times New Roman"/>
          <w:sz w:val="28"/>
          <w:szCs w:val="28"/>
          <w:lang w:eastAsia="ru-RU"/>
        </w:rPr>
        <w:t>, транспорта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 и дорожного хозяйства (с 2,02% до 6,14%), Министерстве финансов (с 3,01% до 4,97%), Министерстве экономического развития и промышленности (с 3% до 4,93%) и </w:t>
      </w:r>
      <w:r w:rsidR="00AB6BC5"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Министерстве жилищно-коммунального хозяйства и гражданской защиты населения </w:t>
      </w:r>
      <w:r w:rsidR="00E82AE1" w:rsidRPr="008923F2">
        <w:rPr>
          <w:rFonts w:ascii="Times New Roman" w:eastAsia="Times New Roman" w:hAnsi="Times New Roman"/>
          <w:sz w:val="28"/>
          <w:szCs w:val="28"/>
          <w:lang w:eastAsia="ru-RU"/>
        </w:rPr>
        <w:t>(с 2,14% до 3,38%).</w:t>
      </w:r>
    </w:p>
    <w:p w14:paraId="2D059B2A" w14:textId="0E010266" w:rsidR="00E82AE1" w:rsidRPr="008923F2" w:rsidRDefault="00E82AE1" w:rsidP="00AB6BC5">
      <w:pPr>
        <w:spacing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По большинству показател</w:t>
      </w:r>
      <w:r w:rsidR="00C51A18">
        <w:rPr>
          <w:rFonts w:ascii="Times New Roman" w:eastAsia="Times New Roman" w:hAnsi="Times New Roman"/>
          <w:sz w:val="28"/>
          <w:szCs w:val="28"/>
          <w:lang w:eastAsia="ru-RU"/>
        </w:rPr>
        <w:t>ей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откло</w:t>
      </w:r>
      <w:r w:rsidR="00F23AA9"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нение от факта не 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F23AA9" w:rsidRPr="008923F2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евышает допустимые 10%.</w:t>
      </w:r>
    </w:p>
    <w:p w14:paraId="1B6C69E5" w14:textId="52E46F00" w:rsidR="00AB6BC5" w:rsidRPr="008923F2" w:rsidRDefault="00E82AE1" w:rsidP="00E82AE1">
      <w:pPr>
        <w:spacing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С наибольшей точностью, с погрешностью менее 1% спрогнозированы показатели «Численность населения» (0,13%), </w:t>
      </w:r>
      <w:r w:rsidR="00AB6BC5" w:rsidRPr="008923F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«Уровень зарегистрированной безработицы» (0,10</w:t>
      </w:r>
      <w:r w:rsidR="00C15F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%),</w:t>
      </w:r>
      <w:r w:rsidR="00AB6BC5" w:rsidRPr="008923F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AB6BC5" w:rsidRPr="008923F2">
        <w:rPr>
          <w:rFonts w:ascii="Times New Roman" w:eastAsia="Times New Roman" w:hAnsi="Times New Roman"/>
          <w:sz w:val="28"/>
          <w:szCs w:val="28"/>
          <w:lang w:eastAsia="ru-RU"/>
        </w:rPr>
        <w:t>«Оборот розничной торговли» (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0,2</w:t>
      </w:r>
      <w:r w:rsidR="00AB6BC5" w:rsidRPr="008923F2">
        <w:rPr>
          <w:rFonts w:ascii="Times New Roman" w:eastAsia="Times New Roman" w:hAnsi="Times New Roman"/>
          <w:sz w:val="28"/>
          <w:szCs w:val="28"/>
          <w:lang w:eastAsia="ru-RU"/>
        </w:rPr>
        <w:t>6%), «Потребление электроэнергии» (0,</w:t>
      </w:r>
      <w:r w:rsidR="00AB6BC5" w:rsidRPr="008923F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42%).</w:t>
      </w:r>
    </w:p>
    <w:p w14:paraId="44C1E732" w14:textId="149470D3" w:rsidR="00A3621C" w:rsidRPr="008923F2" w:rsidRDefault="00E82AE1" w:rsidP="00E61208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bCs/>
          <w:sz w:val="28"/>
          <w:szCs w:val="28"/>
          <w:lang w:eastAsia="ru-RU"/>
        </w:rPr>
        <w:t>Наибольшее отклонение</w:t>
      </w:r>
      <w:r w:rsidR="00F23AA9" w:rsidRPr="008923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от фактически сложившихся</w:t>
      </w:r>
      <w:r w:rsidRPr="008923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отмечается по показателям «Индекс промышленного производства по виду деятельности «Водоснабжение; водоотведение, организация сбора и утилизации отходов, деятельность по ликвидации загрязнений» (11%) и «Импорт товаров» (14,29%).</w:t>
      </w:r>
    </w:p>
    <w:p w14:paraId="5896B49F" w14:textId="5AE9042E" w:rsidR="00242039" w:rsidRPr="00242039" w:rsidRDefault="00242039" w:rsidP="00C51A1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2039">
        <w:rPr>
          <w:rFonts w:ascii="Times New Roman" w:eastAsia="Times New Roman" w:hAnsi="Times New Roman"/>
          <w:sz w:val="28"/>
          <w:szCs w:val="28"/>
          <w:lang w:eastAsia="ru-RU"/>
        </w:rPr>
        <w:t>В 2024 году оценка индекса промышленного производства по виду деятельности «Водоснабжение; водоотведение, организация сбора и утилизации отходов, деятельность по ликвидации загрязнений» по итогам года осуществлялась на основании анализа динамики показателя в предыдущих периодах и отчетных статистических данных за истекший период 2024 года и составила 101,9%.</w:t>
      </w:r>
      <w:r w:rsidR="00C51A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42039">
        <w:rPr>
          <w:rFonts w:ascii="Times New Roman" w:eastAsia="Times New Roman" w:hAnsi="Times New Roman"/>
          <w:sz w:val="28"/>
          <w:szCs w:val="28"/>
          <w:lang w:eastAsia="ru-RU"/>
        </w:rPr>
        <w:t xml:space="preserve">По данным </w:t>
      </w:r>
      <w:proofErr w:type="spellStart"/>
      <w:r w:rsidRPr="00242039">
        <w:rPr>
          <w:rFonts w:ascii="Times New Roman" w:eastAsia="Times New Roman" w:hAnsi="Times New Roman"/>
          <w:sz w:val="28"/>
          <w:szCs w:val="28"/>
          <w:lang w:eastAsia="ru-RU"/>
        </w:rPr>
        <w:t>Пензастата</w:t>
      </w:r>
      <w:proofErr w:type="spellEnd"/>
      <w:r w:rsidRPr="00242039">
        <w:rPr>
          <w:rFonts w:ascii="Times New Roman" w:eastAsia="Times New Roman" w:hAnsi="Times New Roman"/>
          <w:sz w:val="28"/>
          <w:szCs w:val="28"/>
          <w:lang w:eastAsia="ru-RU"/>
        </w:rPr>
        <w:t xml:space="preserve"> за 2024 год индекс производства по данному виду деятельности составил 103%, индекс отклонения прогнозного значения от факта при этом составлял – 1,01%.</w:t>
      </w:r>
      <w:r w:rsidR="00C51A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42039">
        <w:rPr>
          <w:rFonts w:ascii="Times New Roman" w:eastAsia="Times New Roman" w:hAnsi="Times New Roman"/>
          <w:sz w:val="28"/>
          <w:szCs w:val="28"/>
          <w:lang w:eastAsia="ru-RU"/>
        </w:rPr>
        <w:t xml:space="preserve">В июле текущего года Росстатом был произведен перерасчет индексов промышленного производства за 2024 год с учетом </w:t>
      </w:r>
      <w:proofErr w:type="spellStart"/>
      <w:r w:rsidRPr="00242039">
        <w:rPr>
          <w:rFonts w:ascii="Times New Roman" w:eastAsia="Times New Roman" w:hAnsi="Times New Roman"/>
          <w:sz w:val="28"/>
          <w:szCs w:val="28"/>
          <w:lang w:eastAsia="ru-RU"/>
        </w:rPr>
        <w:t>досчета</w:t>
      </w:r>
      <w:proofErr w:type="spellEnd"/>
      <w:r w:rsidRPr="00242039">
        <w:rPr>
          <w:rFonts w:ascii="Times New Roman" w:eastAsia="Times New Roman" w:hAnsi="Times New Roman"/>
          <w:sz w:val="28"/>
          <w:szCs w:val="28"/>
          <w:lang w:eastAsia="ru-RU"/>
        </w:rPr>
        <w:t xml:space="preserve"> на малые предприятия. В результате перерасчета индекс производства увеличился с 103% до </w:t>
      </w:r>
      <w:r w:rsidRPr="0024203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112,9%. На момент разработки прогноза спрогнозировать такой значительный прирост не было оснований.</w:t>
      </w:r>
    </w:p>
    <w:p w14:paraId="3A0BECAA" w14:textId="52A8EDC0" w:rsidR="00242039" w:rsidRPr="002A4671" w:rsidRDefault="00782D44" w:rsidP="00E61208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2D44">
        <w:rPr>
          <w:rFonts w:ascii="Times New Roman" w:eastAsia="Times New Roman" w:hAnsi="Times New Roman"/>
          <w:sz w:val="28"/>
          <w:szCs w:val="28"/>
          <w:lang w:eastAsia="ru-RU"/>
        </w:rPr>
        <w:t>На значительное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82D44">
        <w:rPr>
          <w:rFonts w:ascii="Times New Roman" w:eastAsia="Times New Roman" w:hAnsi="Times New Roman"/>
          <w:sz w:val="28"/>
          <w:szCs w:val="28"/>
          <w:lang w:eastAsia="ru-RU"/>
        </w:rPr>
        <w:t>отклонение прогнозного значения от фактического по показателю «Импорт товаров» повлияло отсутствие оперативных данных об объемах импорта, получаемых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82D44">
        <w:rPr>
          <w:rFonts w:ascii="Times New Roman" w:eastAsia="Times New Roman" w:hAnsi="Times New Roman"/>
          <w:sz w:val="28"/>
          <w:szCs w:val="28"/>
          <w:lang w:eastAsia="ru-RU"/>
        </w:rPr>
        <w:t>от Приволжского таможенного управления (статистические сведения предоставляются с опозданием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82D44">
        <w:rPr>
          <w:rFonts w:ascii="Times New Roman" w:eastAsia="Times New Roman" w:hAnsi="Times New Roman"/>
          <w:sz w:val="28"/>
          <w:szCs w:val="28"/>
          <w:lang w:eastAsia="ru-RU"/>
        </w:rPr>
        <w:t>в 3 месяца), высокая волатильность це</w:t>
      </w:r>
      <w:r w:rsidR="00C51A18">
        <w:rPr>
          <w:rFonts w:ascii="Times New Roman" w:eastAsia="Times New Roman" w:hAnsi="Times New Roman"/>
          <w:sz w:val="28"/>
          <w:szCs w:val="28"/>
          <w:lang w:eastAsia="ru-RU"/>
        </w:rPr>
        <w:t>н на импортные товары, колебание</w:t>
      </w:r>
      <w:r w:rsidRPr="00782D44">
        <w:rPr>
          <w:rFonts w:ascii="Times New Roman" w:eastAsia="Times New Roman" w:hAnsi="Times New Roman"/>
          <w:sz w:val="28"/>
          <w:szCs w:val="28"/>
          <w:lang w:eastAsia="ru-RU"/>
        </w:rPr>
        <w:t xml:space="preserve"> курса валют,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82D44">
        <w:rPr>
          <w:rFonts w:ascii="Times New Roman" w:eastAsia="Times New Roman" w:hAnsi="Times New Roman"/>
          <w:sz w:val="28"/>
          <w:szCs w:val="28"/>
          <w:lang w:eastAsia="ru-RU"/>
        </w:rPr>
        <w:t>а также вводимые ограничения на импорт товаров со стороны РФ и иностранных государств.</w:t>
      </w:r>
    </w:p>
    <w:p w14:paraId="3813EACE" w14:textId="77777777" w:rsidR="00C15FDC" w:rsidRDefault="00C15FDC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FC2A9ED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83D5693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D8F4D8D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584814F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DBD46A8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0F2354E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23669FB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657343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A2FF364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2C29433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8A734B5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8A839D4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4F445B1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0EC0259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5A1EF2A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53150B3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7F2E1CD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19E9CC0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557E228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B4BE14E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0C48F0D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ABA6898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7DE6A06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DBDD60A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7BC5AFD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BECC369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EFDE71D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22CC0B5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6B58B90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4623F38" w14:textId="77777777" w:rsidR="007113DD" w:rsidRDefault="007113D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AE598B0" w14:textId="77777777" w:rsidR="00272515" w:rsidRDefault="00272515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DC505DC" w14:textId="77777777" w:rsidR="00272515" w:rsidRDefault="00272515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6C6C98F" w14:textId="77777777" w:rsidR="00272515" w:rsidRDefault="00272515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3E78981" w14:textId="77777777" w:rsidR="00272515" w:rsidRDefault="00272515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015A62F" w14:textId="77777777" w:rsidR="00272515" w:rsidRDefault="00272515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57AA5C66" w14:textId="77777777" w:rsidR="00272515" w:rsidRDefault="00272515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3BC6F59" w14:textId="77777777" w:rsidR="00272515" w:rsidRDefault="00272515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26E74F6" w14:textId="48B4338A" w:rsidR="00085EBD" w:rsidRPr="008923F2" w:rsidRDefault="00085EBD" w:rsidP="00E76A8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Раздел 2</w:t>
      </w:r>
    </w:p>
    <w:p w14:paraId="5E20FA2E" w14:textId="77777777" w:rsidR="007113DD" w:rsidRDefault="007113DD" w:rsidP="00085EB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113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Ведомственные индексы отклонения</w:t>
      </w:r>
    </w:p>
    <w:p w14:paraId="0BC867A8" w14:textId="322AA0E3" w:rsidR="00085EBD" w:rsidRPr="008923F2" w:rsidRDefault="007113DD" w:rsidP="00085E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113D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долгосрочному прогнозу</w:t>
      </w:r>
      <w:r w:rsidR="00085EBD" w:rsidRPr="008923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социально-экономического развития</w:t>
      </w:r>
    </w:p>
    <w:p w14:paraId="223D4CDC" w14:textId="395A9767" w:rsidR="00085EBD" w:rsidRPr="008923F2" w:rsidRDefault="00085EBD" w:rsidP="00085EB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b/>
          <w:sz w:val="28"/>
          <w:szCs w:val="28"/>
          <w:lang w:eastAsia="ru-RU"/>
        </w:rPr>
        <w:t>Пензенской области по итогам 202</w:t>
      </w:r>
      <w:r w:rsidR="00F711AD" w:rsidRPr="008923F2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8923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14:paraId="18EBC019" w14:textId="77777777" w:rsidR="003C1C76" w:rsidRPr="008923F2" w:rsidRDefault="003C1C76" w:rsidP="003C1C76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42DFA5E3" w14:textId="6EA1D194" w:rsidR="003C1C76" w:rsidRDefault="003C1C76" w:rsidP="003C1C76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Среднее значение </w:t>
      </w:r>
      <w:r w:rsidRPr="008923F2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индекса отклонения </w:t>
      </w:r>
      <w:r w:rsidRPr="008923F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прогнозных показателей от фактически сложившихся за 2024 год по долгосрочному прогнозу </w:t>
      </w:r>
      <w:r w:rsidRPr="008923F2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составило </w:t>
      </w:r>
      <w:r w:rsidRPr="00C15FD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7,</w:t>
      </w:r>
      <w:r w:rsidR="007B6E2D" w:rsidRPr="00C15FD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43</w:t>
      </w:r>
      <w:r w:rsidRPr="00C15FDC">
        <w:rPr>
          <w:rFonts w:ascii="Times New Roman" w:eastAsia="Times New Roman" w:hAnsi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% (</w:t>
      </w:r>
      <w:proofErr w:type="spellStart"/>
      <w:r w:rsidRPr="00C15FDC">
        <w:rPr>
          <w:rFonts w:ascii="Times New Roman" w:eastAsia="Times New Roman" w:hAnsi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справочно</w:t>
      </w:r>
      <w:proofErr w:type="spellEnd"/>
      <w:r w:rsidRPr="00C15FDC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: за 2023 год – 7,47%).</w:t>
      </w:r>
    </w:p>
    <w:p w14:paraId="538EDAC8" w14:textId="77777777" w:rsidR="007113DD" w:rsidRPr="008923F2" w:rsidRDefault="007113DD" w:rsidP="003C1C76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</w:p>
    <w:p w14:paraId="5AABDA6D" w14:textId="4A3EAC0A" w:rsidR="00085EBD" w:rsidRPr="008923F2" w:rsidRDefault="00085EBD" w:rsidP="00F711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23F2">
        <w:rPr>
          <w:rFonts w:ascii="Times New Roman" w:hAnsi="Times New Roman"/>
          <w:b/>
          <w:sz w:val="28"/>
          <w:szCs w:val="28"/>
        </w:rPr>
        <w:t>Ведомственные индексы отклонений по долгосрочному прогнозу</w:t>
      </w:r>
      <w:r w:rsidR="00FA47AA" w:rsidRPr="008923F2">
        <w:rPr>
          <w:rFonts w:ascii="Times New Roman" w:hAnsi="Times New Roman"/>
          <w:b/>
          <w:sz w:val="28"/>
          <w:szCs w:val="28"/>
        </w:rPr>
        <w:t>, %</w:t>
      </w:r>
    </w:p>
    <w:p w14:paraId="3E1D1F41" w14:textId="77777777" w:rsidR="00E379E0" w:rsidRPr="00747194" w:rsidRDefault="00E379E0" w:rsidP="00F711A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0EFF53D4" w14:textId="7CA4E15A" w:rsidR="0010281B" w:rsidRDefault="00747194" w:rsidP="00F711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C664044" wp14:editId="2F6551BD">
            <wp:extent cx="5940425" cy="3115945"/>
            <wp:effectExtent l="0" t="0" r="3175" b="0"/>
            <wp:docPr id="333715560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A3502774-EF31-A770-77BF-7BFC46BD00E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96BC436" w14:textId="77777777" w:rsidR="0010281B" w:rsidRPr="00747194" w:rsidRDefault="0010281B" w:rsidP="00F711AD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3250C70E" w14:textId="573EF813" w:rsidR="003C1C76" w:rsidRPr="008923F2" w:rsidRDefault="003C1C76" w:rsidP="003C1C76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923F2">
        <w:rPr>
          <w:rFonts w:ascii="Times New Roman" w:hAnsi="Times New Roman"/>
          <w:sz w:val="28"/>
          <w:szCs w:val="28"/>
        </w:rPr>
        <w:t>Анализ данных мониторинга по долгосрочному прогнозу показал следующее.</w:t>
      </w:r>
    </w:p>
    <w:p w14:paraId="12D0714E" w14:textId="16465098" w:rsidR="00E379E0" w:rsidRPr="008923F2" w:rsidRDefault="003C1C76" w:rsidP="003C1C7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23F2">
        <w:rPr>
          <w:rFonts w:ascii="Times New Roman" w:hAnsi="Times New Roman"/>
          <w:sz w:val="28"/>
          <w:szCs w:val="28"/>
        </w:rPr>
        <w:t xml:space="preserve">С 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наибольшей точностью спрогнозированы показатели Министерства экономического развития и промы</w:t>
      </w:r>
      <w:r w:rsidR="00B87AA7" w:rsidRPr="008923F2">
        <w:rPr>
          <w:rFonts w:ascii="Times New Roman" w:eastAsia="Times New Roman" w:hAnsi="Times New Roman"/>
          <w:sz w:val="28"/>
          <w:szCs w:val="28"/>
          <w:lang w:eastAsia="ru-RU"/>
        </w:rPr>
        <w:t>шленности Пензенской области. В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едомственный индекс отклонения по 4-м показателям составил 3,7%.</w:t>
      </w:r>
      <w:r w:rsidR="00B87AA7"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 Погрешность по показателям варьируется от 2% до 5,7%.</w:t>
      </w:r>
    </w:p>
    <w:p w14:paraId="2338C883" w14:textId="34E13653" w:rsidR="00B87AA7" w:rsidRPr="008923F2" w:rsidRDefault="003C1C76" w:rsidP="00B87AA7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Высокая точность</w:t>
      </w:r>
      <w:r w:rsidR="0032535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2535E">
        <w:rPr>
          <w:rFonts w:ascii="Times New Roman" w:eastAsia="Times New Roman" w:hAnsi="Times New Roman"/>
          <w:sz w:val="28"/>
          <w:szCs w:val="28"/>
          <w:lang w:eastAsia="ru-RU"/>
        </w:rPr>
        <w:t>прогнозиования</w:t>
      </w:r>
      <w:proofErr w:type="spellEnd"/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 в долгосрочной перспективе </w:t>
      </w:r>
      <w:r w:rsidRPr="00C15FDC">
        <w:rPr>
          <w:rFonts w:ascii="Times New Roman" w:eastAsia="Times New Roman" w:hAnsi="Times New Roman"/>
          <w:sz w:val="28"/>
          <w:szCs w:val="28"/>
          <w:lang w:eastAsia="ru-RU"/>
        </w:rPr>
        <w:t xml:space="preserve">отмечается также по показателям Министерства сельского хозяйства. </w:t>
      </w:r>
      <w:r w:rsidR="00C15FDC" w:rsidRPr="00C15FDC">
        <w:rPr>
          <w:rFonts w:ascii="Times New Roman" w:eastAsia="Times New Roman" w:hAnsi="Times New Roman"/>
          <w:sz w:val="28"/>
          <w:szCs w:val="28"/>
          <w:lang w:eastAsia="ru-RU"/>
        </w:rPr>
        <w:t>Средний индекс отклонения по трем показателям составил</w:t>
      </w:r>
      <w:r w:rsidRPr="00C15FDC">
        <w:rPr>
          <w:rFonts w:ascii="Times New Roman" w:eastAsia="Times New Roman" w:hAnsi="Times New Roman"/>
          <w:sz w:val="28"/>
          <w:szCs w:val="28"/>
          <w:lang w:eastAsia="ru-RU"/>
        </w:rPr>
        <w:t xml:space="preserve"> 4,</w:t>
      </w:r>
      <w:r w:rsidR="00747194" w:rsidRPr="00C15FD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C15FDC">
        <w:rPr>
          <w:rFonts w:ascii="Times New Roman" w:eastAsia="Times New Roman" w:hAnsi="Times New Roman"/>
          <w:sz w:val="28"/>
          <w:szCs w:val="28"/>
          <w:lang w:eastAsia="ru-RU"/>
        </w:rPr>
        <w:t>%.</w:t>
      </w:r>
      <w:r w:rsidR="00B87AA7" w:rsidRPr="00C15FDC">
        <w:rPr>
          <w:rFonts w:ascii="Times New Roman" w:eastAsia="Times New Roman" w:hAnsi="Times New Roman"/>
          <w:sz w:val="28"/>
          <w:szCs w:val="28"/>
          <w:lang w:eastAsia="ru-RU"/>
        </w:rPr>
        <w:t xml:space="preserve"> Погрешность по показателям варьируется от 3,</w:t>
      </w:r>
      <w:r w:rsidR="002A4671" w:rsidRPr="00C15FD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87AA7" w:rsidRPr="00C15FDC">
        <w:rPr>
          <w:rFonts w:ascii="Times New Roman" w:eastAsia="Times New Roman" w:hAnsi="Times New Roman"/>
          <w:sz w:val="28"/>
          <w:szCs w:val="28"/>
          <w:lang w:eastAsia="ru-RU"/>
        </w:rPr>
        <w:t xml:space="preserve">% до </w:t>
      </w:r>
      <w:r w:rsidR="00747194" w:rsidRPr="00C15FDC">
        <w:rPr>
          <w:rFonts w:ascii="Times New Roman" w:eastAsia="Times New Roman" w:hAnsi="Times New Roman"/>
          <w:sz w:val="28"/>
          <w:szCs w:val="28"/>
          <w:lang w:eastAsia="ru-RU"/>
        </w:rPr>
        <w:t>6,2</w:t>
      </w:r>
      <w:r w:rsidR="00B87AA7" w:rsidRPr="00C15FDC">
        <w:rPr>
          <w:rFonts w:ascii="Times New Roman" w:eastAsia="Times New Roman" w:hAnsi="Times New Roman"/>
          <w:sz w:val="28"/>
          <w:szCs w:val="28"/>
          <w:lang w:eastAsia="ru-RU"/>
        </w:rPr>
        <w:t>%.</w:t>
      </w:r>
    </w:p>
    <w:p w14:paraId="18E3D86E" w14:textId="5176A07E" w:rsidR="00B87AA7" w:rsidRPr="008923F2" w:rsidRDefault="00B87AA7" w:rsidP="00B87AA7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Высокий ведомственный </w:t>
      </w:r>
      <w:r w:rsidR="009C088A" w:rsidRPr="008923F2">
        <w:rPr>
          <w:rFonts w:ascii="Times New Roman" w:eastAsia="Times New Roman" w:hAnsi="Times New Roman"/>
          <w:sz w:val="28"/>
          <w:szCs w:val="28"/>
          <w:lang w:eastAsia="ru-RU"/>
        </w:rPr>
        <w:t>индекс отклонения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 (10,09%) по 8-ми показателям Министерства труда, социальной защиты </w:t>
      </w:r>
      <w:r w:rsidR="009C088A" w:rsidRPr="008923F2">
        <w:rPr>
          <w:rFonts w:ascii="Times New Roman" w:eastAsia="Times New Roman" w:hAnsi="Times New Roman"/>
          <w:sz w:val="28"/>
          <w:szCs w:val="28"/>
          <w:lang w:eastAsia="ru-RU"/>
        </w:rPr>
        <w:t>и демографии сложился в связи со значительной погрешностью по показателю «Фонд заработной платы» (17,85%) и «Общая численность безработных» (50,35%). По остальным показателям можно отметить высокую точность прогноза с погрешностью менее 3%.</w:t>
      </w:r>
    </w:p>
    <w:p w14:paraId="146454E1" w14:textId="135BA84A" w:rsidR="003C1C76" w:rsidRPr="008923F2" w:rsidRDefault="009C088A" w:rsidP="003C1C76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Значительн</w:t>
      </w:r>
      <w:r w:rsidR="002A4671">
        <w:rPr>
          <w:rFonts w:ascii="Times New Roman" w:eastAsia="Times New Roman" w:hAnsi="Times New Roman"/>
          <w:sz w:val="28"/>
          <w:szCs w:val="28"/>
          <w:lang w:eastAsia="ru-RU"/>
        </w:rPr>
        <w:t>ое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отклонени</w:t>
      </w:r>
      <w:r w:rsidR="002A467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 от фактически достигнут</w:t>
      </w:r>
      <w:r w:rsidR="002A4671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 отмечается по показателю Министерства строительства, транспорта и дорожного хозяйства «Ввод в действие жилых домов» (21,48%), в связи с чем </w:t>
      </w:r>
      <w:r w:rsidR="00931E6C"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сложился высокий 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ведомственный индекс отклонения </w:t>
      </w:r>
      <w:r w:rsidR="00931E6C" w:rsidRPr="008923F2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11,24%</w:t>
      </w:r>
      <w:r w:rsidR="00931E6C" w:rsidRPr="008923F2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. По показателю</w:t>
      </w:r>
      <w:r w:rsidRPr="008923F2">
        <w:t xml:space="preserve"> «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Индекс производства 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 виду деятельности «Строительство» отмечается </w:t>
      </w:r>
      <w:r w:rsidR="00931E6C" w:rsidRPr="008923F2">
        <w:rPr>
          <w:rFonts w:ascii="Times New Roman" w:eastAsia="Times New Roman" w:hAnsi="Times New Roman"/>
          <w:sz w:val="28"/>
          <w:szCs w:val="28"/>
          <w:lang w:eastAsia="ru-RU"/>
        </w:rPr>
        <w:t>высокая точность прогноза с незначительным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отклонение</w:t>
      </w:r>
      <w:r w:rsidR="00931E6C" w:rsidRPr="008923F2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 от факта (1%).</w:t>
      </w:r>
    </w:p>
    <w:p w14:paraId="231398C6" w14:textId="5BD6950D" w:rsidR="003C1C76" w:rsidRPr="008923F2" w:rsidRDefault="003C1C76" w:rsidP="003C1C7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Ведомственные индексы отклонения</w:t>
      </w:r>
    </w:p>
    <w:p w14:paraId="41D8A0D9" w14:textId="77777777" w:rsidR="003C1C76" w:rsidRDefault="003C1C76" w:rsidP="003C1C7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прогнозных показателей по итогам 2024 года</w:t>
      </w:r>
    </w:p>
    <w:p w14:paraId="269D69CB" w14:textId="73212CB8" w:rsidR="00931E6C" w:rsidRDefault="00931E6C" w:rsidP="00E005F6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целом по области по долгосрочному прогнозу можно отметить повышение точности прогнозирования. В 2024 году сводный областной индекс отклонения снизился </w:t>
      </w:r>
      <w:r w:rsidRPr="00C15F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до 7,</w:t>
      </w:r>
      <w:r w:rsidR="0066740B" w:rsidRPr="00C15F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43</w:t>
      </w:r>
      <w:r w:rsidRPr="00C15FD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%.</w:t>
      </w:r>
    </w:p>
    <w:p w14:paraId="5E39977E" w14:textId="77777777" w:rsidR="00187202" w:rsidRPr="00187202" w:rsidRDefault="00187202" w:rsidP="00187202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16"/>
          <w:szCs w:val="16"/>
          <w:lang w:eastAsia="ru-RU"/>
        </w:rPr>
      </w:pPr>
    </w:p>
    <w:p w14:paraId="5801CA09" w14:textId="247A1CFA" w:rsidR="00E005F6" w:rsidRDefault="00187202" w:rsidP="001872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7202">
        <w:rPr>
          <w:noProof/>
          <w:lang w:eastAsia="ru-RU"/>
        </w:rPr>
        <w:drawing>
          <wp:inline distT="0" distB="0" distL="0" distR="0" wp14:anchorId="7BB6795C" wp14:editId="4E41C55B">
            <wp:extent cx="5940425" cy="2389505"/>
            <wp:effectExtent l="0" t="0" r="3175" b="0"/>
            <wp:docPr id="50925574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25574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8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9BFFC" w14:textId="77777777" w:rsidR="00187202" w:rsidRPr="00187202" w:rsidRDefault="00187202" w:rsidP="0018720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16"/>
          <w:szCs w:val="16"/>
          <w:lang w:eastAsia="ru-RU"/>
        </w:rPr>
      </w:pPr>
    </w:p>
    <w:p w14:paraId="2C4412C3" w14:textId="1DBF5F5A" w:rsidR="004C3679" w:rsidRDefault="00931E6C" w:rsidP="00E005F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Динамика сводного индекса отклонения</w:t>
      </w:r>
    </w:p>
    <w:p w14:paraId="6692410D" w14:textId="77777777" w:rsidR="00187202" w:rsidRDefault="00931E6C" w:rsidP="00E005F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по долгосрочному прогнозу, %</w:t>
      </w:r>
    </w:p>
    <w:p w14:paraId="7FF06304" w14:textId="41B09C32" w:rsidR="00931E6C" w:rsidRPr="008923F2" w:rsidRDefault="00187202" w:rsidP="00E005F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2F64F851" wp14:editId="27091C37">
            <wp:extent cx="5796501" cy="1860605"/>
            <wp:effectExtent l="0" t="0" r="0" b="0"/>
            <wp:docPr id="512959322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FAD391C4-F022-4E24-B609-D5E1EB6852E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1862EFFD" w14:textId="0D42BD17" w:rsidR="00931E6C" w:rsidRPr="00187202" w:rsidRDefault="00931E6C" w:rsidP="00E005F6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080C15B2" w14:textId="3AE1020C" w:rsidR="00931E6C" w:rsidRPr="00013305" w:rsidRDefault="0051602A" w:rsidP="00E005F6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3305">
        <w:rPr>
          <w:rFonts w:ascii="Times New Roman" w:eastAsia="Times New Roman" w:hAnsi="Times New Roman"/>
          <w:sz w:val="28"/>
          <w:szCs w:val="28"/>
          <w:lang w:eastAsia="ru-RU"/>
        </w:rPr>
        <w:t>Относительно 202</w:t>
      </w:r>
      <w:r w:rsidR="00DD70B1" w:rsidRPr="0001330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01330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улучшилось</w:t>
      </w:r>
      <w:r w:rsidR="009F383F" w:rsidRPr="00013305">
        <w:rPr>
          <w:rFonts w:ascii="Times New Roman" w:eastAsia="Times New Roman" w:hAnsi="Times New Roman"/>
          <w:sz w:val="28"/>
          <w:szCs w:val="28"/>
          <w:lang w:eastAsia="ru-RU"/>
        </w:rPr>
        <w:t xml:space="preserve"> качество прогнозирования по показателям </w:t>
      </w:r>
      <w:r w:rsidR="00931E6C" w:rsidRPr="00013305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Министерства труда, социальной защиты и демографии (с 14,38% до 11,24%) и </w:t>
      </w:r>
      <w:r w:rsidR="009F383F" w:rsidRPr="00013305">
        <w:rPr>
          <w:rFonts w:ascii="Times New Roman" w:eastAsia="Times New Roman" w:hAnsi="Times New Roman"/>
          <w:sz w:val="28"/>
          <w:szCs w:val="28"/>
          <w:lang w:eastAsia="ru-RU"/>
        </w:rPr>
        <w:t>Министерства строительства</w:t>
      </w:r>
      <w:r w:rsidR="00FC3A59" w:rsidRPr="00013305">
        <w:rPr>
          <w:rFonts w:ascii="Times New Roman" w:eastAsia="Times New Roman" w:hAnsi="Times New Roman"/>
          <w:sz w:val="28"/>
          <w:szCs w:val="28"/>
          <w:lang w:eastAsia="ru-RU"/>
        </w:rPr>
        <w:t>, транспорта</w:t>
      </w:r>
      <w:r w:rsidR="009F383F" w:rsidRPr="00013305">
        <w:rPr>
          <w:rFonts w:ascii="Times New Roman" w:eastAsia="Times New Roman" w:hAnsi="Times New Roman"/>
          <w:sz w:val="28"/>
          <w:szCs w:val="28"/>
          <w:lang w:eastAsia="ru-RU"/>
        </w:rPr>
        <w:t xml:space="preserve"> и дорожного хозяйства Пензенской области</w:t>
      </w:r>
      <w:r w:rsidR="00931E6C" w:rsidRPr="00013305">
        <w:rPr>
          <w:rFonts w:ascii="Times New Roman" w:eastAsia="Times New Roman" w:hAnsi="Times New Roman"/>
          <w:sz w:val="28"/>
          <w:szCs w:val="28"/>
          <w:lang w:eastAsia="ru-RU"/>
        </w:rPr>
        <w:t xml:space="preserve"> (с 15,84% до 11,24%)</w:t>
      </w:r>
      <w:r w:rsidR="009F383F" w:rsidRPr="0001330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852D71D" w14:textId="480C0B32" w:rsidR="00931E6C" w:rsidRPr="008923F2" w:rsidRDefault="00931E6C" w:rsidP="0035473A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Незначительно увеличился индекс отклонения по показателям </w:t>
      </w:r>
      <w:r w:rsidRPr="00344642">
        <w:rPr>
          <w:rFonts w:ascii="Times New Roman" w:eastAsia="Times New Roman" w:hAnsi="Times New Roman"/>
          <w:sz w:val="28"/>
          <w:szCs w:val="28"/>
          <w:lang w:eastAsia="ru-RU"/>
        </w:rPr>
        <w:t>Министерства сельского хозяйства (с 3,77% до 4,</w:t>
      </w:r>
      <w:r w:rsidR="00187202" w:rsidRPr="0034464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44642">
        <w:rPr>
          <w:rFonts w:ascii="Times New Roman" w:eastAsia="Times New Roman" w:hAnsi="Times New Roman"/>
          <w:sz w:val="28"/>
          <w:szCs w:val="28"/>
          <w:lang w:eastAsia="ru-RU"/>
        </w:rPr>
        <w:t>%).</w:t>
      </w:r>
    </w:p>
    <w:p w14:paraId="5D1344FB" w14:textId="238C446C" w:rsidR="00931E6C" w:rsidRPr="008923F2" w:rsidRDefault="003B3F12" w:rsidP="0035473A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Наиболее точный прогноз разработан по показателям «Индекс производства по виду деятельности «Строительство» (погрешность 1%), «Общий коэффициент смертности» (1,9%), «Численность занятых в экономике» (1,24%).</w:t>
      </w:r>
    </w:p>
    <w:p w14:paraId="2F54B6C9" w14:textId="4489F081" w:rsidR="003B3F12" w:rsidRPr="008923F2" w:rsidRDefault="003B3F12" w:rsidP="003B3F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Наибольшее</w:t>
      </w:r>
      <w:r w:rsidR="00B01699"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отклонение 50,35%, повлиявшее на рост 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сводного</w:t>
      </w:r>
      <w:r w:rsidR="00B01699"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 ведомственного индекса, и значительно превышающее допустимый уровень погрешности, отмечается по показателю «Численность безработных, рассчитанная по методологии, МОТ» (2023 – 33,22%).</w:t>
      </w:r>
    </w:p>
    <w:p w14:paraId="27606654" w14:textId="77777777" w:rsidR="008F5AB9" w:rsidRPr="008923F2" w:rsidRDefault="008F5AB9" w:rsidP="008F5AB9">
      <w:pPr>
        <w:spacing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На основании результатов проведенного мониторинга исполнительным органам Пензенской области, участвующим в разработке прогнозов, необходимо:</w:t>
      </w:r>
    </w:p>
    <w:p w14:paraId="384279B6" w14:textId="76AA1A0C" w:rsidR="008F5AB9" w:rsidRPr="008923F2" w:rsidRDefault="008F5AB9" w:rsidP="008F5AB9">
      <w:pPr>
        <w:spacing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</w:t>
      </w:r>
      <w:r w:rsidR="002D561C" w:rsidRPr="008923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провести причинно-следственный анализ отклонений фактических значений показателей от прогнозных</w:t>
      </w:r>
      <w:r w:rsidR="003B3F12" w:rsidRPr="008923F2">
        <w:rPr>
          <w:rFonts w:ascii="Times New Roman" w:eastAsia="Times New Roman" w:hAnsi="Times New Roman"/>
          <w:sz w:val="28"/>
          <w:szCs w:val="28"/>
          <w:lang w:eastAsia="ru-RU"/>
        </w:rPr>
        <w:t>, отклонения по которым превышают 10%</w:t>
      </w: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12A4C19" w14:textId="4A3DEBC0" w:rsidR="008F5AB9" w:rsidRPr="008923F2" w:rsidRDefault="008F5AB9" w:rsidP="003B3F12">
      <w:pPr>
        <w:spacing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23F2">
        <w:rPr>
          <w:rFonts w:ascii="Times New Roman" w:eastAsia="Times New Roman" w:hAnsi="Times New Roman"/>
          <w:sz w:val="28"/>
          <w:szCs w:val="28"/>
          <w:lang w:eastAsia="ru-RU"/>
        </w:rPr>
        <w:t>- при проведении прогнозной оценки осуществлять анализ текущей ситуации и данных статистик</w:t>
      </w:r>
      <w:r w:rsidR="003B3F12" w:rsidRPr="008923F2">
        <w:rPr>
          <w:rFonts w:ascii="Times New Roman" w:eastAsia="Times New Roman" w:hAnsi="Times New Roman"/>
          <w:sz w:val="28"/>
          <w:szCs w:val="28"/>
          <w:lang w:eastAsia="ru-RU"/>
        </w:rPr>
        <w:t>и по прогнозируемым показателям</w:t>
      </w:r>
      <w:r w:rsidR="00FD586F" w:rsidRPr="008923F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676482E" w14:textId="45D51C52" w:rsidR="00E76A83" w:rsidRPr="008923F2" w:rsidRDefault="00E76A83" w:rsidP="00343C3A">
      <w:pPr>
        <w:spacing w:line="240" w:lineRule="auto"/>
        <w:ind w:firstLine="851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12F7B465" w14:textId="59A9589A" w:rsidR="00385DCD" w:rsidRDefault="00385DCD" w:rsidP="00385DCD">
      <w:pPr>
        <w:spacing w:line="240" w:lineRule="auto"/>
        <w:ind w:firstLine="851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2515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Приложение 1</w:t>
      </w:r>
      <w:r w:rsidRPr="008923F2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«</w:t>
      </w:r>
      <w:r w:rsidRPr="008923F2">
        <w:rPr>
          <w:rFonts w:ascii="Times New Roman" w:eastAsia="Times New Roman" w:hAnsi="Times New Roman"/>
          <w:iCs/>
          <w:sz w:val="28"/>
          <w:szCs w:val="28"/>
          <w:lang w:eastAsia="ru-RU"/>
        </w:rPr>
        <w:t>Расчет ведомственного индекса отклонения прогнозных показателей, разработанных исполнительными органами государственной власти Пензенской области в соответствии с Методическими рекомендациями по мониторингу выполнения основных показателей среднесрочного прогноза социально-экономического развития по итогам 202</w:t>
      </w:r>
      <w:r w:rsidR="002D561C" w:rsidRPr="008923F2">
        <w:rPr>
          <w:rFonts w:ascii="Times New Roman" w:eastAsia="Times New Roman" w:hAnsi="Times New Roman"/>
          <w:iCs/>
          <w:sz w:val="28"/>
          <w:szCs w:val="28"/>
          <w:lang w:eastAsia="ru-RU"/>
        </w:rPr>
        <w:t>4</w:t>
      </w:r>
      <w:r w:rsidRPr="008923F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года»</w:t>
      </w:r>
      <w:r w:rsidR="00072753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14:paraId="0BC562C8" w14:textId="77777777" w:rsidR="00272515" w:rsidRPr="008923F2" w:rsidRDefault="00272515" w:rsidP="00385DCD">
      <w:pPr>
        <w:spacing w:line="240" w:lineRule="auto"/>
        <w:ind w:firstLine="851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14:paraId="4532712B" w14:textId="2902BF5B" w:rsidR="00385DCD" w:rsidRPr="008923F2" w:rsidRDefault="00385DCD" w:rsidP="00385DCD">
      <w:pPr>
        <w:spacing w:line="240" w:lineRule="auto"/>
        <w:ind w:firstLine="851"/>
        <w:contextualSpacing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272515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Приложение 2</w:t>
      </w:r>
      <w:r w:rsidRPr="008923F2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8923F2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«Расчет ведомственного индекса отклонения прогнозных показателей, разработанных исполнительными органами государственной власти Пензенской области, в соответствии с Методическими рекомендациями по мониторингу выполнения основных показателей долгосрочного прогноза социально-экономического развития</w:t>
      </w:r>
      <w:r w:rsidRPr="008923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 итогам 202</w:t>
      </w:r>
      <w:r w:rsidR="002D561C" w:rsidRPr="008923F2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Pr="008923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года».</w:t>
      </w:r>
    </w:p>
    <w:p w14:paraId="3EF1A706" w14:textId="77777777" w:rsidR="00385DCD" w:rsidRPr="000F21E7" w:rsidRDefault="00385DCD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24F6BB0D" w14:textId="77777777" w:rsidR="000F21E7" w:rsidRPr="000F21E7" w:rsidRDefault="000F21E7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02FC1A11" w14:textId="77777777" w:rsidR="000F21E7" w:rsidRDefault="000F21E7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5FBC568D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668A787E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755DCA6C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62EA9948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7919C0B2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3020A020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4A95E803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3C03433D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374C4F20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3F14F7FE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55202696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243C8B53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0DB71D17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6D103A8D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657AE213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496A7D83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5024E9B5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6C489742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1BB39089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2775D335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67A8F256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32D2A333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0116BE8D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633E945F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06A3C8F7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33F363EE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05FBD099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745704D0" w14:textId="77777777" w:rsidR="00272515" w:rsidRDefault="00272515" w:rsidP="007E32D7">
      <w:pPr>
        <w:spacing w:line="240" w:lineRule="auto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14:paraId="04AA3572" w14:textId="77777777" w:rsidR="00272515" w:rsidRDefault="00272515" w:rsidP="0027251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Раздел 3</w:t>
      </w:r>
    </w:p>
    <w:p w14:paraId="10D11761" w14:textId="77777777" w:rsidR="00272515" w:rsidRPr="00191CF0" w:rsidRDefault="00272515" w:rsidP="0027251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91CF0">
        <w:rPr>
          <w:rFonts w:ascii="Times New Roman" w:hAnsi="Times New Roman"/>
          <w:b/>
          <w:color w:val="000000"/>
          <w:sz w:val="28"/>
          <w:szCs w:val="28"/>
        </w:rPr>
        <w:t>Мониторинг</w:t>
      </w:r>
    </w:p>
    <w:p w14:paraId="407AAA39" w14:textId="77777777" w:rsidR="00272515" w:rsidRPr="00191CF0" w:rsidRDefault="00272515" w:rsidP="0027251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91CF0">
        <w:rPr>
          <w:rFonts w:ascii="Times New Roman" w:hAnsi="Times New Roman"/>
          <w:b/>
          <w:color w:val="000000"/>
          <w:sz w:val="28"/>
          <w:szCs w:val="28"/>
        </w:rPr>
        <w:t>выполнения основных показателей среднесрочных прогнозов, разработанных муниципальными районами и городскими округами Пензенской области</w:t>
      </w:r>
      <w:r w:rsidRPr="00191CF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по итогам 2024 года</w:t>
      </w:r>
    </w:p>
    <w:p w14:paraId="3CE11936" w14:textId="77777777" w:rsidR="00272515" w:rsidRPr="00191CF0" w:rsidRDefault="00272515" w:rsidP="00272515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2290F18E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Мониторинг выполнения основных показателей среднесрочных прогнозов, разработанных муниципальными районами и городскими округами Пензенской области, осуществляется в целях повышения качества прогнозирования и эффективности управления на муниципальном уровне.</w:t>
      </w:r>
    </w:p>
    <w:p w14:paraId="2D8F8C42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Мониторинг проводится в соответствии с Методическими рекомендациями по выполнению основных показателей прогнозов социально-экономического развития на долгосрочный и среднесрочный периоды, утвержденными постановлением Правительства Пензенской области от 28.12.2024 № 1127-пП «Об утверждении Порядка разработки, корректировки, общественного обсуждения, мониторинга и контроля реализации прогнозов социально-экономического развития Пензенской области на долгосрочный и среднесрочный периоды».</w:t>
      </w:r>
    </w:p>
    <w:p w14:paraId="7704983D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мониторинге используются показатели прогнозов муниципальных районов и городских округов Пензенской области на 2025-2027 годы, представленные в Министерство экономического развития и промышленности Пензенской области.</w:t>
      </w:r>
    </w:p>
    <w:p w14:paraId="06515B51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качестве индикаторов точности прогнозирования выбраны показатели, по которым существует статистическая информация в необходимом разрезе, позволяющая сопоставить прогнозные значения с фактически сложившимися за отчетный период.</w:t>
      </w:r>
    </w:p>
    <w:p w14:paraId="7A28EF57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Сводный индекс отклонения прогнозных показателей по муниципальным районам определялся по 13 показателям, по городским округам – по 12 показателям (для г. Пензы и г. Кузнецка не рассматривался показатель «Объем продукции сельского хозяйства в хозяйствах всех категорий»).</w:t>
      </w:r>
    </w:p>
    <w:p w14:paraId="0F72D04C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Муниципальный индекс по показателю «Объем платных услуг населению» по всем районам и городским округам принят за 0 в связи с отсутствием отчетных статистических данных по итогам 2024 года. По информации </w:t>
      </w:r>
      <w:proofErr w:type="spellStart"/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Пензастата</w:t>
      </w:r>
      <w:proofErr w:type="spellEnd"/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разработка показателя «Объем платных услуг населению по полному кругу организаций» с 2025 года планом статистических работ не предусмотрена.</w:t>
      </w:r>
    </w:p>
    <w:p w14:paraId="42ADB878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Среднее значение сводного индекса отклонения прогнозных показателей от фактически сложившихся за 2024 год по муниципальным районам и городским округам составило </w:t>
      </w:r>
      <w:r w:rsidRPr="006B5D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27,43%</w:t>
      </w: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(2023 год – 51,87%).</w:t>
      </w:r>
    </w:p>
    <w:p w14:paraId="1D8AAAAA" w14:textId="77777777" w:rsidR="00272515" w:rsidRPr="00A8222A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C1F1C7" w14:textId="77777777" w:rsidR="00272515" w:rsidRPr="00A8222A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655E13" w14:textId="77777777" w:rsidR="00272515" w:rsidRPr="00A8222A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D6BF43" w14:textId="77777777" w:rsidR="00272515" w:rsidRPr="00A8222A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746EAA" w14:textId="77777777" w:rsidR="00272515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C65D61" w14:textId="77777777" w:rsidR="00272515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F9221C" w14:textId="77777777" w:rsidR="00272515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9E7E24" w14:textId="77777777" w:rsidR="00272515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59E932" w14:textId="77777777" w:rsidR="00272515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99A197" w14:textId="77777777" w:rsidR="00272515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53ECE6" w14:textId="77777777" w:rsidR="00272515" w:rsidRPr="006B5D74" w:rsidRDefault="00272515" w:rsidP="002725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5D7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Сводные индексы отклонения прогнозных показателей</w:t>
      </w:r>
    </w:p>
    <w:p w14:paraId="44B3DCD7" w14:textId="77777777" w:rsidR="00272515" w:rsidRPr="006B5D74" w:rsidRDefault="00272515" w:rsidP="002725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B5D74">
        <w:rPr>
          <w:rFonts w:ascii="Times New Roman" w:eastAsia="Times New Roman" w:hAnsi="Times New Roman"/>
          <w:b/>
          <w:sz w:val="28"/>
          <w:szCs w:val="28"/>
          <w:lang w:eastAsia="ru-RU"/>
        </w:rPr>
        <w:t>по итогам 2024 года</w:t>
      </w:r>
    </w:p>
    <w:tbl>
      <w:tblPr>
        <w:tblW w:w="7780" w:type="dxa"/>
        <w:tblInd w:w="886" w:type="dxa"/>
        <w:tblLook w:val="04A0" w:firstRow="1" w:lastRow="0" w:firstColumn="1" w:lastColumn="0" w:noHBand="0" w:noVBand="1"/>
      </w:tblPr>
      <w:tblGrid>
        <w:gridCol w:w="960"/>
        <w:gridCol w:w="4848"/>
        <w:gridCol w:w="986"/>
        <w:gridCol w:w="986"/>
      </w:tblGrid>
      <w:tr w:rsidR="00272515" w:rsidRPr="006B5D74" w14:paraId="2EAF2C23" w14:textId="77777777" w:rsidTr="00751B0F">
        <w:trPr>
          <w:trHeight w:val="40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C012B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59907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г. Пенза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C632E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6,47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5BA0C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14,21</w:t>
            </w:r>
          </w:p>
        </w:tc>
      </w:tr>
      <w:tr w:rsidR="00272515" w:rsidRPr="006B5D74" w14:paraId="60353C27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3D0306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9BB85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г. Кузнецк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BBBF3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20,18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642FF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11,74</w:t>
            </w:r>
          </w:p>
        </w:tc>
      </w:tr>
      <w:tr w:rsidR="00272515" w:rsidRPr="006B5D74" w14:paraId="65BA0970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18665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DD5EA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Башмаковский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44A59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10,73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51817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8,98</w:t>
            </w:r>
          </w:p>
        </w:tc>
      </w:tr>
      <w:tr w:rsidR="00272515" w:rsidRPr="006B5D74" w14:paraId="7D98DABE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8FAC9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9B67A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Бековский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A4EC5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14,91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CBD5A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8,76</w:t>
            </w:r>
          </w:p>
        </w:tc>
      </w:tr>
      <w:tr w:rsidR="00272515" w:rsidRPr="006B5D74" w14:paraId="0D3789DF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0C9BF0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73C33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Белинский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D4DAB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94420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406,84</w:t>
            </w:r>
          </w:p>
        </w:tc>
      </w:tr>
      <w:tr w:rsidR="00272515" w:rsidRPr="006B5D74" w14:paraId="7DDFB8F8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B0E86F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1BB8B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Бессоновский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4BFCD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F027F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10,85</w:t>
            </w:r>
          </w:p>
        </w:tc>
      </w:tr>
      <w:tr w:rsidR="00272515" w:rsidRPr="006B5D74" w14:paraId="1CFC1730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80599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B69AB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Вадинский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1899C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35,73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8D9E6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26,37</w:t>
            </w:r>
          </w:p>
        </w:tc>
      </w:tr>
      <w:tr w:rsidR="00272515" w:rsidRPr="006B5D74" w14:paraId="338F7E5F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23C9F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C4B5E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Городищенский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44A6A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78252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9,15</w:t>
            </w:r>
          </w:p>
        </w:tc>
      </w:tr>
      <w:tr w:rsidR="00272515" w:rsidRPr="006B5D74" w14:paraId="7CD6152B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EFE2A6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6AF80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Земетчинский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7C05B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17,84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B2A64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11,68</w:t>
            </w:r>
          </w:p>
        </w:tc>
      </w:tr>
      <w:tr w:rsidR="00272515" w:rsidRPr="006B5D74" w14:paraId="38281509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70077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9BA2A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Иссинский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78411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24,33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2283D4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16,7</w:t>
            </w:r>
          </w:p>
        </w:tc>
      </w:tr>
      <w:tr w:rsidR="00272515" w:rsidRPr="006B5D74" w14:paraId="274C959F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BDCDF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558B6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Каменский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92824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24,37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5C7BF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10,53</w:t>
            </w:r>
          </w:p>
        </w:tc>
      </w:tr>
      <w:tr w:rsidR="00272515" w:rsidRPr="006B5D74" w14:paraId="41E8B2B5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4C72F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A33EB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Камешкирский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6BECD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12,99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27ED6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15,04</w:t>
            </w:r>
          </w:p>
        </w:tc>
      </w:tr>
      <w:tr w:rsidR="00272515" w:rsidRPr="006B5D74" w14:paraId="0A75B3B2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C90DD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E3039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Колышлейский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CCE8D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CDAE0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12,54</w:t>
            </w:r>
          </w:p>
        </w:tc>
      </w:tr>
      <w:tr w:rsidR="00272515" w:rsidRPr="006B5D74" w14:paraId="15EB4CEF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7B71DA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BAF41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Кузнецкий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F4280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10,55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72C4D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14,13</w:t>
            </w:r>
          </w:p>
        </w:tc>
      </w:tr>
      <w:tr w:rsidR="00272515" w:rsidRPr="006B5D74" w14:paraId="1B9CF60A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F320D2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F1ABD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Лопатинский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1A7A5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38,19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91666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7,99</w:t>
            </w:r>
          </w:p>
        </w:tc>
      </w:tr>
      <w:tr w:rsidR="00272515" w:rsidRPr="006B5D74" w14:paraId="7C6A8069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78CD6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2D838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Лунинский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D942B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9F576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22,69</w:t>
            </w:r>
          </w:p>
        </w:tc>
      </w:tr>
      <w:tr w:rsidR="00272515" w:rsidRPr="006B5D74" w14:paraId="4C349594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D4677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502B3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Малосердобинский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53ABB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232,18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B107E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719,52</w:t>
            </w:r>
          </w:p>
        </w:tc>
      </w:tr>
      <w:tr w:rsidR="00272515" w:rsidRPr="006B5D74" w14:paraId="5F6223C7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B2682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11799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Мокшанский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348A3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15,84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65906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20,8</w:t>
            </w:r>
          </w:p>
        </w:tc>
      </w:tr>
      <w:tr w:rsidR="00272515" w:rsidRPr="006B5D74" w14:paraId="77B09333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37903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63B43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Наровчатский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C44A4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26,79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23679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21,43</w:t>
            </w:r>
          </w:p>
        </w:tc>
      </w:tr>
      <w:tr w:rsidR="00272515" w:rsidRPr="006B5D74" w14:paraId="54E5C780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C0429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883D2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Неверкинский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5CA7B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5BD8E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18,57</w:t>
            </w:r>
          </w:p>
        </w:tc>
      </w:tr>
      <w:tr w:rsidR="00272515" w:rsidRPr="006B5D74" w14:paraId="724244F2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36E51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BD3B9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Нижнеломовский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61FD1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F9D4D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15,77</w:t>
            </w:r>
          </w:p>
        </w:tc>
      </w:tr>
      <w:tr w:rsidR="00272515" w:rsidRPr="006B5D74" w14:paraId="327F71A3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BFE08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7E81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Никольский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AEF9C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18,29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6F7DB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11,46</w:t>
            </w:r>
          </w:p>
        </w:tc>
      </w:tr>
      <w:tr w:rsidR="00272515" w:rsidRPr="006B5D74" w14:paraId="17BFDD7A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375553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14C90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Пачелмский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2EA01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82353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10,63</w:t>
            </w:r>
          </w:p>
        </w:tc>
      </w:tr>
      <w:tr w:rsidR="00272515" w:rsidRPr="006B5D74" w14:paraId="78238692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05F3F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2CA21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Пензенский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13073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39,16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C8B29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12,17</w:t>
            </w:r>
          </w:p>
        </w:tc>
      </w:tr>
      <w:tr w:rsidR="00272515" w:rsidRPr="006B5D74" w14:paraId="41656A95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E97C9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1C087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Сердобский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3D1F6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A98D1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11,88</w:t>
            </w:r>
          </w:p>
        </w:tc>
      </w:tr>
      <w:tr w:rsidR="00272515" w:rsidRPr="006B5D74" w14:paraId="2D11E9D1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6BC1B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B39D0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Сосновоборский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5D0E1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B2C5D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8,51</w:t>
            </w:r>
          </w:p>
        </w:tc>
      </w:tr>
      <w:tr w:rsidR="00272515" w:rsidRPr="006B5D74" w14:paraId="2FA485D0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3BE56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9A0B0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Спасский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669AA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05DA0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14,71</w:t>
            </w:r>
          </w:p>
        </w:tc>
      </w:tr>
      <w:tr w:rsidR="00272515" w:rsidRPr="006B5D74" w14:paraId="5F79E795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E495D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15598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Тамалинский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D75C5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26,84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BE056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14,67</w:t>
            </w:r>
          </w:p>
        </w:tc>
      </w:tr>
      <w:tr w:rsidR="00272515" w:rsidRPr="006B5D74" w14:paraId="0F5AC05F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61CA4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A46E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Шемышейский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1FC88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1CEE4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14,93</w:t>
            </w:r>
          </w:p>
        </w:tc>
      </w:tr>
      <w:tr w:rsidR="00272515" w:rsidRPr="009450CE" w14:paraId="14123D28" w14:textId="77777777" w:rsidTr="00751B0F">
        <w:trPr>
          <w:trHeight w:val="40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792B130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1A44C83" w14:textId="77777777" w:rsidR="00272515" w:rsidRPr="006B5D74" w:rsidRDefault="00272515" w:rsidP="00751B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Среднее значение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71821C5" w14:textId="77777777" w:rsidR="00272515" w:rsidRPr="006B5D74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27,43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3D456C9" w14:textId="77777777" w:rsidR="00272515" w:rsidRPr="009450CE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B5D7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51,87</w:t>
            </w:r>
          </w:p>
        </w:tc>
      </w:tr>
    </w:tbl>
    <w:p w14:paraId="1AC0DCBC" w14:textId="77777777" w:rsidR="00272515" w:rsidRDefault="00272515" w:rsidP="002725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3E0CA6C" w14:textId="77777777" w:rsidR="00272515" w:rsidRDefault="00272515" w:rsidP="002725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1C27EEF" w14:textId="77777777" w:rsidR="00272515" w:rsidRDefault="00272515" w:rsidP="002725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D8C474D" w14:textId="77777777" w:rsidR="00272515" w:rsidRDefault="00272515" w:rsidP="002725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99842D1" w14:textId="77777777" w:rsidR="00272515" w:rsidRDefault="00272515" w:rsidP="002725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14830DB" w14:textId="77777777" w:rsidR="00272515" w:rsidRDefault="00272515" w:rsidP="0027251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9870EBC" w14:textId="77777777" w:rsidR="00272515" w:rsidRPr="006B5D74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5D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По итогам 2024 года наибольшая точность прогнозирования (отклонение фактически достигнутых показателей от прогнозных ниже 10%) достигнута в </w:t>
      </w:r>
      <w:r w:rsidRPr="006B5D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г. Пензе, Колышлейском, Городищенском и Шемышейском районах.</w:t>
      </w:r>
    </w:p>
    <w:p w14:paraId="7D4D1F94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5D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Малосердобинском районе имеет место недопустимое отклонение фактически достигнутых значений показателей от прогнозных – 232,18%.</w:t>
      </w:r>
    </w:p>
    <w:p w14:paraId="12C17671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Несмотря на это общий уровень точности прогноза по муниципальным образованиям за 2024 год значительно улучшился.</w:t>
      </w:r>
    </w:p>
    <w:p w14:paraId="22E98254" w14:textId="77777777" w:rsidR="00272515" w:rsidRPr="00191CF0" w:rsidRDefault="00272515" w:rsidP="00272515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Сводные индексы отклонения по муниципальным районам и городским округам, %</w:t>
      </w:r>
    </w:p>
    <w:p w14:paraId="7339899C" w14:textId="5770BF06" w:rsidR="00272515" w:rsidRPr="00191CF0" w:rsidRDefault="00272515" w:rsidP="0027251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297D">
        <w:rPr>
          <w:noProof/>
        </w:rPr>
        <w:drawing>
          <wp:inline distT="0" distB="0" distL="0" distR="0" wp14:anchorId="0E2A3BF1" wp14:editId="474905CF">
            <wp:extent cx="6333490" cy="6944995"/>
            <wp:effectExtent l="0" t="0" r="10160" b="8255"/>
            <wp:docPr id="1414425732" name="Диаграмма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1610F40" w14:textId="77777777" w:rsidR="00272515" w:rsidRPr="00A8222A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222A">
        <w:rPr>
          <w:rFonts w:ascii="Times New Roman" w:eastAsia="Times New Roman" w:hAnsi="Times New Roman"/>
          <w:sz w:val="28"/>
          <w:szCs w:val="28"/>
          <w:lang w:eastAsia="ru-RU"/>
        </w:rPr>
        <w:t>Рассмотрим отдельно муниципальные индексы отклонения по каждому показателю, включенному в сводный индекс отклонения.</w:t>
      </w:r>
    </w:p>
    <w:p w14:paraId="0392BB2F" w14:textId="5662ACF8" w:rsidR="00272515" w:rsidRPr="00A8222A" w:rsidRDefault="00272515" w:rsidP="0027251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noProof/>
        </w:rPr>
        <w:lastRenderedPageBreak/>
        <w:drawing>
          <wp:anchor distT="6096" distB="4572" distL="120561" distR="118996" simplePos="0" relativeHeight="251661312" behindDoc="0" locked="0" layoutInCell="1" allowOverlap="1" wp14:anchorId="7685D1AA" wp14:editId="10F65D36">
            <wp:simplePos x="0" y="0"/>
            <wp:positionH relativeFrom="margin">
              <wp:posOffset>89446</wp:posOffset>
            </wp:positionH>
            <wp:positionV relativeFrom="paragraph">
              <wp:posOffset>726186</wp:posOffset>
            </wp:positionV>
            <wp:extent cx="6142990" cy="6591300"/>
            <wp:effectExtent l="0" t="0" r="10160" b="0"/>
            <wp:wrapSquare wrapText="bothSides"/>
            <wp:docPr id="791020389" name="Диаграмма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822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Муниципальны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й индекс отклонения по показателю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«</w:t>
      </w:r>
      <w:r w:rsidRPr="00A822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Объем инвестиций в основной капитал за счет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всех источников финансирования»</w:t>
      </w:r>
      <w:r w:rsidRPr="00A822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%</w:t>
      </w:r>
    </w:p>
    <w:p w14:paraId="2F239EA4" w14:textId="77777777" w:rsidR="00272515" w:rsidRPr="004F6D71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F6D71">
        <w:rPr>
          <w:rFonts w:ascii="Times New Roman" w:hAnsi="Times New Roman"/>
          <w:sz w:val="28"/>
          <w:szCs w:val="28"/>
        </w:rPr>
        <w:t>Средний муниципальный индекс отклонения по данному показателю сложился на уровне 58,40%. Точность прогнозирования относительно предыдущего периода ухудшилась в 1,5 раза (2023 год – 38,92%).</w:t>
      </w:r>
    </w:p>
    <w:p w14:paraId="0489D122" w14:textId="77777777" w:rsidR="00272515" w:rsidRPr="004F6D71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F6D71">
        <w:rPr>
          <w:rFonts w:ascii="Times New Roman" w:hAnsi="Times New Roman"/>
          <w:sz w:val="28"/>
          <w:szCs w:val="28"/>
        </w:rPr>
        <w:t xml:space="preserve">Увеличение общего индекса по данному показателю обусловлено значительным отклонением от факта в Лопатинском (552,51%) %), Вадинском (192,52%)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4F6D71">
        <w:rPr>
          <w:rFonts w:ascii="Times New Roman" w:hAnsi="Times New Roman"/>
          <w:sz w:val="28"/>
          <w:szCs w:val="28"/>
        </w:rPr>
        <w:t>Пачелмском (140,56</w:t>
      </w:r>
      <w:r>
        <w:rPr>
          <w:rFonts w:ascii="Times New Roman" w:hAnsi="Times New Roman"/>
          <w:sz w:val="28"/>
          <w:szCs w:val="28"/>
        </w:rPr>
        <w:t>)</w:t>
      </w:r>
      <w:r w:rsidRPr="004F6D71">
        <w:rPr>
          <w:rFonts w:ascii="Times New Roman" w:hAnsi="Times New Roman"/>
          <w:sz w:val="28"/>
          <w:szCs w:val="28"/>
        </w:rPr>
        <w:t xml:space="preserve"> районах, что свидетельствует об очень низком качестве прогнозирования.</w:t>
      </w:r>
    </w:p>
    <w:p w14:paraId="3628A77B" w14:textId="77777777" w:rsidR="00272515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F6D71">
        <w:rPr>
          <w:rFonts w:ascii="Times New Roman" w:hAnsi="Times New Roman"/>
          <w:sz w:val="28"/>
          <w:szCs w:val="28"/>
        </w:rPr>
        <w:t xml:space="preserve">Высокую точность прогнозирования – погрешность менее 3% – по этому показателю можно отметить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4F6D71">
        <w:rPr>
          <w:rFonts w:ascii="Times New Roman" w:hAnsi="Times New Roman"/>
          <w:sz w:val="28"/>
          <w:szCs w:val="28"/>
        </w:rPr>
        <w:t xml:space="preserve">Никольском, Тамалинском, Каменском районах и </w:t>
      </w:r>
      <w:r w:rsidRPr="004F6D71">
        <w:rPr>
          <w:rFonts w:ascii="Times New Roman" w:hAnsi="Times New Roman"/>
          <w:sz w:val="28"/>
          <w:szCs w:val="28"/>
        </w:rPr>
        <w:br/>
        <w:t>г. Пенза.</w:t>
      </w:r>
    </w:p>
    <w:p w14:paraId="50ADFCA0" w14:textId="77777777" w:rsidR="00272515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8222A">
        <w:rPr>
          <w:rFonts w:ascii="Times New Roman" w:hAnsi="Times New Roman"/>
          <w:b/>
          <w:bCs/>
          <w:sz w:val="28"/>
          <w:szCs w:val="28"/>
        </w:rPr>
        <w:lastRenderedPageBreak/>
        <w:t xml:space="preserve">Муниципальный индекс отклонения </w:t>
      </w:r>
      <w:r>
        <w:rPr>
          <w:rFonts w:ascii="Times New Roman" w:hAnsi="Times New Roman"/>
          <w:b/>
          <w:bCs/>
          <w:sz w:val="28"/>
          <w:szCs w:val="28"/>
        </w:rPr>
        <w:t>по показателю</w:t>
      </w:r>
      <w:r>
        <w:rPr>
          <w:rFonts w:ascii="Times New Roman" w:hAnsi="Times New Roman"/>
          <w:b/>
          <w:bCs/>
          <w:sz w:val="28"/>
          <w:szCs w:val="28"/>
        </w:rPr>
        <w:br/>
        <w:t>«</w:t>
      </w:r>
      <w:r w:rsidRPr="00A8222A">
        <w:rPr>
          <w:rFonts w:ascii="Times New Roman" w:hAnsi="Times New Roman"/>
          <w:b/>
          <w:bCs/>
          <w:sz w:val="28"/>
          <w:szCs w:val="28"/>
        </w:rPr>
        <w:t xml:space="preserve">Наличие на конец года основных фондов (средств) по </w:t>
      </w:r>
      <w:r>
        <w:rPr>
          <w:rFonts w:ascii="Times New Roman" w:hAnsi="Times New Roman"/>
          <w:b/>
          <w:bCs/>
          <w:sz w:val="28"/>
          <w:szCs w:val="28"/>
        </w:rPr>
        <w:t>остаточной балансовой стоимости»</w:t>
      </w:r>
      <w:r w:rsidRPr="00A8222A">
        <w:rPr>
          <w:rFonts w:ascii="Times New Roman" w:hAnsi="Times New Roman"/>
          <w:b/>
          <w:bCs/>
          <w:sz w:val="28"/>
          <w:szCs w:val="28"/>
        </w:rPr>
        <w:t>, %</w:t>
      </w:r>
    </w:p>
    <w:p w14:paraId="3DC16DAD" w14:textId="515DE6E9" w:rsidR="00272515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91CF0">
        <w:rPr>
          <w:rFonts w:ascii="Times New Roman" w:hAnsi="Times New Roman"/>
          <w:noProof/>
          <w:lang w:eastAsia="ru-RU"/>
        </w:rPr>
        <w:drawing>
          <wp:inline distT="0" distB="0" distL="0" distR="0" wp14:anchorId="054A3970" wp14:editId="7381B085">
            <wp:extent cx="6109335" cy="6616700"/>
            <wp:effectExtent l="0" t="0" r="5715" b="12700"/>
            <wp:docPr id="1017447213" name="Диаграмма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09960BC" w14:textId="77777777" w:rsidR="00272515" w:rsidRPr="004F6D71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F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Средний индекс по показателю «Наличие на конец года основных фондов» составил 31,47%. Значительный рост индекса обусловлен низким качеством прогнозирования этого показателя в Пачелмском районе – отклонение составило 428,36%.</w:t>
      </w:r>
    </w:p>
    <w:p w14:paraId="5720F2CC" w14:textId="77777777" w:rsidR="00272515" w:rsidRPr="004F6D71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D71">
        <w:rPr>
          <w:rFonts w:ascii="Times New Roman" w:eastAsia="Times New Roman" w:hAnsi="Times New Roman"/>
          <w:sz w:val="28"/>
          <w:szCs w:val="28"/>
          <w:lang w:eastAsia="ru-RU"/>
        </w:rPr>
        <w:t>Кроме этого, на увеличение общего индекса оказало негативное влияние увеличение погрешности в Вадинском, Сердобском, Малосердобинском и Нижнеломовском районах.</w:t>
      </w:r>
    </w:p>
    <w:p w14:paraId="260F6888" w14:textId="77777777" w:rsidR="00272515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D71">
        <w:rPr>
          <w:rFonts w:ascii="Times New Roman" w:eastAsia="Times New Roman" w:hAnsi="Times New Roman"/>
          <w:sz w:val="28"/>
          <w:szCs w:val="28"/>
          <w:lang w:eastAsia="ru-RU"/>
        </w:rPr>
        <w:t xml:space="preserve">Не смотря на отсутствие оперативной статистической отчетности, в 17 муниципальных районах </w:t>
      </w:r>
      <w:r w:rsidRPr="004F6D71">
        <w:rPr>
          <w:rFonts w:ascii="Times New Roman" w:hAnsi="Times New Roman"/>
          <w:sz w:val="28"/>
          <w:szCs w:val="28"/>
        </w:rPr>
        <w:t xml:space="preserve">отклонение не превысило допустимый максимум в 10%. </w:t>
      </w:r>
      <w:r w:rsidRPr="004F6D71">
        <w:rPr>
          <w:rFonts w:ascii="Times New Roman" w:eastAsia="Times New Roman" w:hAnsi="Times New Roman"/>
          <w:sz w:val="28"/>
          <w:szCs w:val="28"/>
          <w:lang w:eastAsia="ru-RU"/>
        </w:rPr>
        <w:t>Наиболее высокая точность прогнозирования с отклонением менее 1% отмечена в Наровчатском, Неверкинском, Кузнецком и Никольском районах.</w:t>
      </w:r>
    </w:p>
    <w:p w14:paraId="3829FCE1" w14:textId="77777777" w:rsidR="00272515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A822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Муниципальный индекс отклонения по показателю</w:t>
      </w:r>
    </w:p>
    <w:p w14:paraId="3DD7048D" w14:textId="77777777" w:rsidR="00272515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</w:t>
      </w:r>
      <w:r w:rsidRPr="00A822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Амортизация основных фондов коммерческих орга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низаций по бухгалтерскому учету»</w:t>
      </w:r>
      <w:r w:rsidRPr="00A822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, %</w:t>
      </w:r>
    </w:p>
    <w:p w14:paraId="7CD673A1" w14:textId="2132E8FC" w:rsidR="00272515" w:rsidRDefault="00272515" w:rsidP="0027251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  <w:r w:rsidRPr="00191CF0">
        <w:rPr>
          <w:rFonts w:ascii="Times New Roman" w:hAnsi="Times New Roman"/>
          <w:noProof/>
          <w:lang w:eastAsia="ru-RU"/>
        </w:rPr>
        <w:drawing>
          <wp:inline distT="0" distB="0" distL="0" distR="0" wp14:anchorId="0B8A2999" wp14:editId="30A0BB01">
            <wp:extent cx="6331585" cy="6391275"/>
            <wp:effectExtent l="0" t="0" r="12065" b="9525"/>
            <wp:docPr id="1252597542" name="Диаграмма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4A1EE298" w14:textId="77777777" w:rsidR="00272515" w:rsidRPr="004F6D71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F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Точность прогнозирования по показателю </w:t>
      </w:r>
      <w:r w:rsidRPr="004F6D71">
        <w:rPr>
          <w:rFonts w:ascii="Times New Roman" w:eastAsia="Times New Roman" w:hAnsi="Times New Roman"/>
          <w:sz w:val="28"/>
          <w:szCs w:val="28"/>
          <w:lang w:eastAsia="ru-RU"/>
        </w:rPr>
        <w:t>«Амортизация основных фондов»</w:t>
      </w:r>
      <w:r w:rsidRPr="004F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сравнению с предыдущим годом значительно улучшилась, среднее отклонение по муниципальным образованиям составило 54,6% против 312,28% в 2023 году.</w:t>
      </w:r>
    </w:p>
    <w:p w14:paraId="1DE7CBD8" w14:textId="77777777" w:rsidR="00272515" w:rsidRPr="004F6D71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допустимой погрешностью, менее 10%, показатель разработан </w:t>
      </w:r>
      <w:r w:rsidRPr="004F6D71">
        <w:rPr>
          <w:rFonts w:ascii="Times New Roman" w:eastAsia="Times New Roman" w:hAnsi="Times New Roman"/>
          <w:sz w:val="28"/>
          <w:szCs w:val="28"/>
          <w:lang w:eastAsia="ru-RU"/>
        </w:rPr>
        <w:t>в 14-ти муниципальных образованиях. Наиболее высокая точность прогнозирования достигнута в Колышлейском и Земетчинском районах, в данных районах отклонение составило 0,36% и 0,4% соответственно.</w:t>
      </w:r>
    </w:p>
    <w:p w14:paraId="6083E327" w14:textId="77777777" w:rsidR="00272515" w:rsidRPr="00A8222A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Негативное влияние на высокое среднее значение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отклонения</w:t>
      </w:r>
      <w:r w:rsidRPr="004F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F6D71">
        <w:rPr>
          <w:rFonts w:ascii="Times New Roman" w:eastAsia="Times New Roman" w:hAnsi="Times New Roman"/>
          <w:sz w:val="28"/>
          <w:szCs w:val="28"/>
          <w:lang w:eastAsia="ru-RU"/>
        </w:rPr>
        <w:t>оказало низкое качество прогноза в Тамалинском и Малосердобинском районах с отклонениями 288,71% и 784,38% соответственно.</w:t>
      </w:r>
    </w:p>
    <w:p w14:paraId="3EAE2629" w14:textId="77777777" w:rsidR="00272515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9FAC850" w14:textId="77777777" w:rsidR="00272515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4E38199" w14:textId="77777777" w:rsidR="00272515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64D1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Муниципальный индекс отклонения по показателю</w:t>
      </w:r>
    </w:p>
    <w:p w14:paraId="06EFB0F0" w14:textId="77777777" w:rsidR="00272515" w:rsidRPr="00064D1F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64D1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"Прибыль прибыльных предприятий", %</w:t>
      </w:r>
    </w:p>
    <w:p w14:paraId="34639F4F" w14:textId="77D9212B" w:rsidR="00272515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1CF0">
        <w:rPr>
          <w:rFonts w:ascii="Times New Roman" w:hAnsi="Times New Roman"/>
          <w:noProof/>
          <w:lang w:eastAsia="ru-RU"/>
        </w:rPr>
        <w:drawing>
          <wp:inline distT="0" distB="0" distL="0" distR="0" wp14:anchorId="4E6A96FE" wp14:editId="2A9A2DBB">
            <wp:extent cx="6292215" cy="6901815"/>
            <wp:effectExtent l="0" t="0" r="13335" b="13335"/>
            <wp:docPr id="380583067" name="Диаграмма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6CE37569" w14:textId="77777777" w:rsidR="00272515" w:rsidRPr="004F6D71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Средний</w:t>
      </w:r>
      <w:r w:rsidRPr="004F6D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муниципальный индекс</w:t>
      </w:r>
      <w:r w:rsidRPr="004F6D71">
        <w:rPr>
          <w:rFonts w:ascii="Times New Roman" w:eastAsia="Times New Roman" w:hAnsi="Times New Roman"/>
          <w:sz w:val="28"/>
          <w:szCs w:val="28"/>
          <w:lang w:eastAsia="ru-RU"/>
        </w:rPr>
        <w:t xml:space="preserve"> отклонения по показателю «Прибыль прибыльных предприятий» за 2024 год составило 63,19% (2023 – 47,38%.)</w:t>
      </w:r>
    </w:p>
    <w:p w14:paraId="6D1C2392" w14:textId="77777777" w:rsidR="00272515" w:rsidRPr="004F6D71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D71">
        <w:rPr>
          <w:rFonts w:ascii="Times New Roman" w:eastAsia="Times New Roman" w:hAnsi="Times New Roman"/>
          <w:sz w:val="28"/>
          <w:szCs w:val="28"/>
          <w:lang w:eastAsia="ru-RU"/>
        </w:rPr>
        <w:t>В большинстве районах отмечается значительная погрешность прогнозирования. Отклонение более 100% сложилось в Городищенском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F6D71">
        <w:rPr>
          <w:rFonts w:ascii="Times New Roman" w:eastAsia="Times New Roman" w:hAnsi="Times New Roman"/>
          <w:sz w:val="28"/>
          <w:szCs w:val="28"/>
          <w:lang w:eastAsia="ru-RU"/>
        </w:rPr>
        <w:t>(100,57%), Иссинском (160,18%), Вадинском (168,52%) и Наровчатском (309,49%) районах.</w:t>
      </w:r>
    </w:p>
    <w:p w14:paraId="6B8D7D91" w14:textId="77777777" w:rsidR="00272515" w:rsidRPr="004F6D71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D71">
        <w:rPr>
          <w:rFonts w:ascii="Times New Roman" w:eastAsia="Times New Roman" w:hAnsi="Times New Roman"/>
          <w:sz w:val="28"/>
          <w:szCs w:val="28"/>
          <w:lang w:eastAsia="ru-RU"/>
        </w:rPr>
        <w:t>Наиболее точно показатель спрогнозирован в Земетчинском (2,26%), Сердобском (2,37%), Бессоновском (3,18%) районах и г. Пенза (9,16%), где отклонение не превышает допустимое значение 10%.</w:t>
      </w:r>
    </w:p>
    <w:p w14:paraId="2E170250" w14:textId="77777777" w:rsidR="00272515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C07A6C" w14:textId="0A4434E8" w:rsidR="00272515" w:rsidRPr="00A8222A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noProof/>
        </w:rPr>
        <w:lastRenderedPageBreak/>
        <w:drawing>
          <wp:anchor distT="6096" distB="3048" distL="120396" distR="118491" simplePos="0" relativeHeight="251660288" behindDoc="0" locked="0" layoutInCell="1" allowOverlap="1" wp14:anchorId="06C96996" wp14:editId="24E8990C">
            <wp:simplePos x="0" y="0"/>
            <wp:positionH relativeFrom="margin">
              <wp:posOffset>-101219</wp:posOffset>
            </wp:positionH>
            <wp:positionV relativeFrom="paragraph">
              <wp:posOffset>602361</wp:posOffset>
            </wp:positionV>
            <wp:extent cx="6371590" cy="7238365"/>
            <wp:effectExtent l="0" t="0" r="10160" b="635"/>
            <wp:wrapSquare wrapText="bothSides"/>
            <wp:docPr id="331207949" name="Диаграмма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822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Муниципальны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й индекс отклонения показателя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«</w:t>
      </w:r>
      <w:r w:rsidRPr="00A822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Численность постоянного населения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(среднегодовая)»</w:t>
      </w:r>
      <w:r w:rsidRPr="00A822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%</w:t>
      </w:r>
    </w:p>
    <w:p w14:paraId="4A256663" w14:textId="77777777" w:rsidR="00272515" w:rsidRPr="004F6D71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F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Традиционно наиболее точно разрабатывается прогноз по показателю «Численность постоянного населения» – средний индекс отклонения по нему составил 0,28%. Относительно прошлого года точность прогнозирования показателя увеличилась в 13,4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</w:t>
      </w:r>
      <w:r w:rsidRPr="004F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(2023 год – 3,75%).</w:t>
      </w:r>
    </w:p>
    <w:p w14:paraId="17D5C60C" w14:textId="77777777" w:rsidR="00272515" w:rsidRPr="004F6D71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F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Высокая точность прогнозирования, менее 2%, отмечается во всех муниципальных образованиях Пензенской области.</w:t>
      </w:r>
    </w:p>
    <w:p w14:paraId="7F1B8B47" w14:textId="77777777" w:rsidR="00272515" w:rsidRPr="00A8222A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F6D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Сердобском, Малосердобинском, Лопатинском и Белинском районах показатель спрогнозирован с точностью 100%.</w:t>
      </w:r>
    </w:p>
    <w:p w14:paraId="5EBB2996" w14:textId="77777777" w:rsidR="00272515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A822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Муниципальный индекс отклонения по показателю</w:t>
      </w:r>
    </w:p>
    <w:p w14:paraId="4D375701" w14:textId="77777777" w:rsidR="00272515" w:rsidRPr="00A8222A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</w:t>
      </w:r>
      <w:r w:rsidRPr="0010662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Среднесписочная численность работников крупных и средних предприятий и организаций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»</w:t>
      </w:r>
      <w:r w:rsidRPr="00A822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, %</w:t>
      </w:r>
    </w:p>
    <w:p w14:paraId="5F119056" w14:textId="7B9D6FFB" w:rsidR="00272515" w:rsidRDefault="00272515" w:rsidP="00272515">
      <w:pPr>
        <w:tabs>
          <w:tab w:val="left" w:pos="4300"/>
        </w:tabs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 wp14:anchorId="6A2F61E4" wp14:editId="294949B5">
            <wp:extent cx="6414135" cy="6914515"/>
            <wp:effectExtent l="0" t="0" r="5715" b="635"/>
            <wp:docPr id="1334593428" name="Диаграмма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3FDB1E51" w14:textId="77777777" w:rsidR="00272515" w:rsidRPr="00E734F3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Средний индекс отклонения по показателю «Средняя численность работников организаций» составил 1,07%. Во всех муниципальных образованиях погрешность не превысила 5%.</w:t>
      </w:r>
    </w:p>
    <w:p w14:paraId="5426D28E" w14:textId="77777777" w:rsidR="00272515" w:rsidRPr="00E734F3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Высокая точность показателя с отклонением менее 1% отмечена в 17 муниципальных образованиях.</w:t>
      </w:r>
    </w:p>
    <w:p w14:paraId="70687636" w14:textId="77777777" w:rsidR="00272515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28BF3A5" w14:textId="77777777" w:rsidR="00272515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E0EEEDC" w14:textId="77777777" w:rsidR="00272515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DEE59BF" w14:textId="77777777" w:rsidR="00272515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BF5B68C" w14:textId="77777777" w:rsidR="00272515" w:rsidRPr="00A8222A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C69019B" w14:textId="77777777" w:rsidR="00272515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A822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Муниципальный индекс отклонения по показателю</w:t>
      </w:r>
    </w:p>
    <w:p w14:paraId="636F94F6" w14:textId="77777777" w:rsidR="00272515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</w:t>
      </w:r>
      <w:r w:rsidRPr="001D4D3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Номинальная начисленная среднемесячная заработная плата работников крупных и средних предприятий и организаций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», %</w:t>
      </w:r>
    </w:p>
    <w:p w14:paraId="4AB292BC" w14:textId="37C7A437" w:rsidR="00272515" w:rsidRDefault="00272515" w:rsidP="00272515">
      <w:pPr>
        <w:tabs>
          <w:tab w:val="left" w:pos="4300"/>
        </w:tabs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D3297D">
        <w:rPr>
          <w:noProof/>
          <w:lang w:eastAsia="ru-RU"/>
        </w:rPr>
        <w:drawing>
          <wp:inline distT="0" distB="0" distL="0" distR="0" wp14:anchorId="36CB5CF1" wp14:editId="4BC3F62B">
            <wp:extent cx="6053455" cy="6762115"/>
            <wp:effectExtent l="0" t="0" r="4445" b="635"/>
            <wp:docPr id="93376135" name="Диаграмма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3FB40951" w14:textId="77777777" w:rsidR="00272515" w:rsidRPr="00E734F3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_Hlk117244621"/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Достаточно точно спрогнозирован показатель «Номинальная заработная плата». Средний индекс отклонения по данному показателю составил 3,70% (2023 год – 4,75%).</w:t>
      </w:r>
    </w:p>
    <w:p w14:paraId="78D64C27" w14:textId="77777777" w:rsidR="00272515" w:rsidRPr="00E734F3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мин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имальными отклонениями (менее 1</w:t>
      </w:r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%) прогноз разработали в </w:t>
      </w:r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г. Пензе, Городищенском, Колышлейском и Пензенском районах.</w:t>
      </w:r>
    </w:p>
    <w:p w14:paraId="50346B4E" w14:textId="77777777" w:rsidR="00272515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Погрешность менее 10% отмечается практически во всех муниципальных образованиях, за исключением Вадинского и Тамалинского районов, где значение составило 10,07 % и 12,67% соответственно.</w:t>
      </w:r>
    </w:p>
    <w:bookmarkEnd w:id="0"/>
    <w:p w14:paraId="060561FC" w14:textId="77777777" w:rsidR="00272515" w:rsidRDefault="00272515" w:rsidP="00272515">
      <w:pPr>
        <w:tabs>
          <w:tab w:val="left" w:pos="4300"/>
        </w:tabs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178CC170" w14:textId="77777777" w:rsidR="00272515" w:rsidRDefault="00272515" w:rsidP="00272515">
      <w:pPr>
        <w:tabs>
          <w:tab w:val="left" w:pos="4300"/>
        </w:tabs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DE5A4B5" w14:textId="77777777" w:rsidR="00272515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A822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Муниципальный индекс отклонения по показателю</w:t>
      </w:r>
    </w:p>
    <w:p w14:paraId="3DEC5E04" w14:textId="77777777" w:rsidR="00272515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</w:t>
      </w:r>
      <w:r w:rsidRPr="001D4D3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Фонд начисленной заработной платы работников крупных и средних предприятий и организаций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», %</w:t>
      </w:r>
    </w:p>
    <w:p w14:paraId="2FDF8404" w14:textId="381AB73E" w:rsidR="00272515" w:rsidRDefault="00272515" w:rsidP="00272515">
      <w:pPr>
        <w:tabs>
          <w:tab w:val="left" w:pos="4300"/>
        </w:tabs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D3297D">
        <w:rPr>
          <w:noProof/>
          <w:lang w:eastAsia="ru-RU"/>
        </w:rPr>
        <w:drawing>
          <wp:inline distT="0" distB="0" distL="0" distR="0" wp14:anchorId="32B95FB8" wp14:editId="3789AF66">
            <wp:extent cx="6444615" cy="6835140"/>
            <wp:effectExtent l="0" t="0" r="13335" b="3810"/>
            <wp:docPr id="1447987447" name="Диаграм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2CD848A6" w14:textId="77777777" w:rsidR="00272515" w:rsidRPr="00E734F3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Средний индекс отклонения по показателю «Фонд начисленной заработной платы» составил 4,13% (2023 год – 4,37%), что говорит о высоком качестве прогнозирования по данному показателю.</w:t>
      </w:r>
    </w:p>
    <w:p w14:paraId="0067CED1" w14:textId="77777777" w:rsidR="00272515" w:rsidRPr="00E734F3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минимальным отклонением менее 1% прогноз разработан в Городищенском, Иссинском, Сердобском, Колышлейском районах и в </w:t>
      </w:r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г. Пензе.</w:t>
      </w:r>
    </w:p>
    <w:p w14:paraId="2975D87B" w14:textId="77777777" w:rsidR="00272515" w:rsidRPr="00A8222A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Индекс отклонения, не превышающий допустимый максимум 10%, отмечен в 26 муниципальных образованиях, исключение составили Спасский, Пачелмский и Лунинский районы.</w:t>
      </w:r>
    </w:p>
    <w:p w14:paraId="28FEB523" w14:textId="77777777" w:rsidR="00272515" w:rsidRDefault="00272515" w:rsidP="00272515">
      <w:pPr>
        <w:tabs>
          <w:tab w:val="left" w:pos="4300"/>
        </w:tabs>
        <w:spacing w:after="0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E77C865" w14:textId="77777777" w:rsidR="00272515" w:rsidRPr="00026A8D" w:rsidRDefault="00272515" w:rsidP="00272515">
      <w:pPr>
        <w:tabs>
          <w:tab w:val="left" w:pos="4300"/>
        </w:tabs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A822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Муниципальный и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ндекс отклонения по показателю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  <w:t>«</w:t>
      </w:r>
      <w:r w:rsidRPr="001D4D3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Численность безработных, зарегистрированных в государственных учреждениях, созданных на территории Пензенской области в целях осуществления полномочий в сфере занятости населения (на конец года)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»</w:t>
      </w:r>
      <w:r w:rsidRPr="00A822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, %</w:t>
      </w:r>
    </w:p>
    <w:p w14:paraId="644FABDF" w14:textId="33CFF5F4" w:rsidR="00272515" w:rsidRPr="00026A8D" w:rsidRDefault="00272515" w:rsidP="00272515">
      <w:pPr>
        <w:tabs>
          <w:tab w:val="left" w:pos="4300"/>
        </w:tabs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191CF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0C99EB57" wp14:editId="296C1E37">
            <wp:extent cx="6414135" cy="6570345"/>
            <wp:effectExtent l="0" t="0" r="5715" b="1905"/>
            <wp:docPr id="1162153679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5F817A67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Точность прогнозирования показателя «Численность безработных, зарегистрированных в органах государственной службы занятости» в 2024 году относительно предыдущего периода значительно ухудшилась, значение среднего муниципального индекса увеличилось в 1,66 р. и составило 37,21% (2023 год – 22,46%). При том, что оперативная информация о динамике данного показателя имеется во всех муниципалитетах.</w:t>
      </w:r>
    </w:p>
    <w:p w14:paraId="0541ACF2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27 муниципальных образованиях зафиксирована погрешность более 10%. Максимальное отклонение выявлено в Пензенском районе – 88,32%.</w:t>
      </w:r>
    </w:p>
    <w:p w14:paraId="43946621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Следует отметить, что со 100%-ой точностью прогноз разработан в Тамалинском и Лопатинском районах.</w:t>
      </w:r>
    </w:p>
    <w:p w14:paraId="2F1ECBE4" w14:textId="52A68B8D" w:rsidR="00272515" w:rsidRPr="00191CF0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noProof/>
        </w:rPr>
        <w:lastRenderedPageBreak/>
        <w:drawing>
          <wp:anchor distT="6096" distB="6477" distL="120396" distR="117729" simplePos="0" relativeHeight="251659264" behindDoc="0" locked="0" layoutInCell="1" allowOverlap="1" wp14:anchorId="77E458A9" wp14:editId="7E104EA8">
            <wp:simplePos x="0" y="0"/>
            <wp:positionH relativeFrom="margin">
              <wp:align>right</wp:align>
            </wp:positionH>
            <wp:positionV relativeFrom="paragraph">
              <wp:posOffset>483616</wp:posOffset>
            </wp:positionV>
            <wp:extent cx="6391275" cy="6619875"/>
            <wp:effectExtent l="0" t="0" r="9525" b="9525"/>
            <wp:wrapSquare wrapText="bothSides"/>
            <wp:docPr id="1835148828" name="Диаграмма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91C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Муниципальный индекс отклонения показателя</w:t>
      </w:r>
      <w:r w:rsidRPr="00191C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  <w:t>«Ввод в действие жилых домов», %</w:t>
      </w:r>
    </w:p>
    <w:p w14:paraId="4B80C3BE" w14:textId="77777777" w:rsidR="00272515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5E228AA" w14:textId="77777777" w:rsidR="00272515" w:rsidRPr="00E734F3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Значение среднего муниципального индекса по показателю «Ввод в действие жилых домов» по сравнению с предыдущим годом увеличилось почти в 2 раза и за 2024 год составило 18,57% (2023 – 9,97%).</w:t>
      </w:r>
    </w:p>
    <w:p w14:paraId="703ED706" w14:textId="77777777" w:rsidR="00272515" w:rsidRPr="00E734F3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отклонением менее 10% прогноз разработан в 10 муниципальных образованиях. Необходимо отметить, высокую точность прогнозирования данного показателя, с отклонением менее 1%, в Городищенском и Наровчатском районах.</w:t>
      </w:r>
    </w:p>
    <w:p w14:paraId="35CBF625" w14:textId="77777777" w:rsidR="00272515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наличии ежемесячной отчетности по данному показателю значительное отклонение от факта отмечается в Иссинском, Никольском, Пензенском, Каменском районах и г. Кузнецк. Максимальное отклонение 55,18% зафиксировано</w:t>
      </w:r>
      <w:r w:rsidRPr="00E734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Каменском районе.</w:t>
      </w:r>
    </w:p>
    <w:p w14:paraId="6CAEB1BF" w14:textId="77777777" w:rsidR="00272515" w:rsidRPr="00632197" w:rsidRDefault="00272515" w:rsidP="00272515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highlight w:val="yellow"/>
          <w:lang w:eastAsia="ru-RU"/>
        </w:rPr>
      </w:pPr>
      <w:r w:rsidRPr="0063219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Муниципальный индекс по показателю «Объем продукции сельского хозяйства в хозяйствах всех категорий», %</w:t>
      </w:r>
    </w:p>
    <w:p w14:paraId="04E5D118" w14:textId="20EC00F4" w:rsidR="00272515" w:rsidRPr="00191CF0" w:rsidRDefault="00272515" w:rsidP="00272515">
      <w:pPr>
        <w:spacing w:after="0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297D">
        <w:rPr>
          <w:noProof/>
        </w:rPr>
        <w:drawing>
          <wp:inline distT="0" distB="0" distL="0" distR="0" wp14:anchorId="07E625C0" wp14:editId="5DFBD374">
            <wp:extent cx="6799580" cy="6612890"/>
            <wp:effectExtent l="0" t="0" r="1270" b="16510"/>
            <wp:docPr id="452289645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7F933DFD" w14:textId="77777777" w:rsidR="00272515" w:rsidRPr="00632197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321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Качество прогнозирования по показателю «Объем продукции сельского хозяйства в хозяйствах всех категорий» в 2024 году относительно 2023 года ухудшилось, значение среднего муниципального индекса 19,36% (2023 год – 13,86%). В 18 муниципальных районах зафиксирована погрешность более 10%. Максимальное отклонение зафиксировано в Неверкинском районе – 95,46%.</w:t>
      </w:r>
    </w:p>
    <w:p w14:paraId="4EBDFC8F" w14:textId="77777777" w:rsidR="00272515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321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Минимальное отклонение – 0,55% отмечено в Вадинском районе. Также вы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сокая точность прогнозирования </w:t>
      </w:r>
      <w:r w:rsidRPr="006321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отмечается в Шемышейск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ом, Сосновоборском, Тамалинском и</w:t>
      </w:r>
      <w:r w:rsidRPr="006321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Башмаковском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районах.</w:t>
      </w:r>
    </w:p>
    <w:p w14:paraId="698ED848" w14:textId="77777777" w:rsidR="00272515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80C364C" w14:textId="77777777" w:rsidR="00272515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78BC9EA" w14:textId="77777777" w:rsidR="00272515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8CDFAB6" w14:textId="77777777" w:rsidR="00272515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117F6C1" w14:textId="77777777" w:rsidR="00272515" w:rsidRPr="00A8222A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6C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Муниципальный индекс отклонения</w:t>
      </w:r>
      <w:r w:rsidRPr="00A822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196C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показателю</w:t>
      </w:r>
    </w:p>
    <w:p w14:paraId="2F620D66" w14:textId="77777777" w:rsidR="00272515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99324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Объем розничной торговли по крупным и средним предприятиям и организациям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Pr="00196C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%</w:t>
      </w:r>
    </w:p>
    <w:p w14:paraId="5FA8E03D" w14:textId="248E21AB" w:rsidR="00272515" w:rsidRDefault="00272515" w:rsidP="00272515">
      <w:pPr>
        <w:tabs>
          <w:tab w:val="left" w:pos="4300"/>
        </w:tabs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3297D">
        <w:rPr>
          <w:noProof/>
          <w:lang w:eastAsia="ru-RU"/>
        </w:rPr>
        <w:drawing>
          <wp:inline distT="0" distB="0" distL="0" distR="0" wp14:anchorId="2342F29F" wp14:editId="374D1E3F">
            <wp:extent cx="6238875" cy="6523355"/>
            <wp:effectExtent l="0" t="0" r="9525" b="10795"/>
            <wp:docPr id="781730207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6CAF6A5C" w14:textId="77777777" w:rsidR="00272515" w:rsidRPr="00E734F3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показателю «Объем розничной торговли» среднее значение отклонения </w:t>
      </w:r>
      <w:r w:rsidRPr="00E734F3">
        <w:rPr>
          <w:rFonts w:ascii="Times New Roman" w:hAnsi="Times New Roman"/>
          <w:sz w:val="28"/>
          <w:szCs w:val="28"/>
        </w:rPr>
        <w:t xml:space="preserve">не превысило допустимый максимум 10% и </w:t>
      </w:r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составило 9,32%.</w:t>
      </w:r>
    </w:p>
    <w:p w14:paraId="20904256" w14:textId="77777777" w:rsidR="00272515" w:rsidRPr="00E734F3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допустимой погрешностью с отклонением меньше среднего значения показатель спрогнозирован в 13 муниципальных районах и г. Кузнецке.</w:t>
      </w:r>
    </w:p>
    <w:p w14:paraId="594D9AE8" w14:textId="77777777" w:rsidR="00272515" w:rsidRPr="00E734F3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Наиболее высокая точность прогнозирования, менее 3%, отмечается в Сердобском, Лопатинском, Кузнецком, Малосердобинском, Спасском и Бессоновском районах.</w:t>
      </w:r>
    </w:p>
    <w:p w14:paraId="113CA2EE" w14:textId="77777777" w:rsidR="00272515" w:rsidRPr="00E734F3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отклонением выше среднего значения данный показатель спрогнозирован в 14 муниципальных районах и г. Пензе.</w:t>
      </w:r>
    </w:p>
    <w:p w14:paraId="5E434679" w14:textId="77777777" w:rsidR="00272515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Наибольшее отклонение допущено в Земетчинском и Лунинском районах.</w:t>
      </w:r>
    </w:p>
    <w:p w14:paraId="55F36AC5" w14:textId="77777777" w:rsidR="00272515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0F6D9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Муниципальный индекс отклонения по показателю</w:t>
      </w:r>
      <w:r w:rsidRPr="00A822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</w:t>
      </w:r>
      <w:r w:rsidRPr="0099324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Оборот общественного питания по крупным и средним предприятиям и организациям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»</w:t>
      </w:r>
      <w:r w:rsidRPr="000F6D9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, %</w:t>
      </w:r>
    </w:p>
    <w:p w14:paraId="7653E719" w14:textId="51E6EB42" w:rsidR="00272515" w:rsidRDefault="00272515" w:rsidP="00272515">
      <w:pPr>
        <w:tabs>
          <w:tab w:val="left" w:pos="4300"/>
        </w:tabs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D3297D">
        <w:rPr>
          <w:noProof/>
          <w:lang w:eastAsia="ru-RU"/>
        </w:rPr>
        <w:drawing>
          <wp:inline distT="0" distB="0" distL="0" distR="0" wp14:anchorId="5A627642" wp14:editId="3718EA72">
            <wp:extent cx="6296025" cy="5987415"/>
            <wp:effectExtent l="0" t="0" r="9525" b="13335"/>
            <wp:docPr id="398473790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0BD59AA1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Несмотря на то, что значение муниципального индекса отклонения по показателю «Оборот общественного питания» заметно снизилось, уровень отклонения остается на очень высоком уровне 92,36% (2023 год 289,43%).</w:t>
      </w:r>
    </w:p>
    <w:p w14:paraId="1C99BF5F" w14:textId="77777777" w:rsidR="00272515" w:rsidRPr="00E734F3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Высокий индекс отклонения сложился в связи с неудовлетворительным качеством прогнозирования </w:t>
      </w:r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Малосердобинском районе. Согласно представленному прогнозу, значение показателя было равно 0, при том, что начиная с января 2024 года, по официальным данным статистики на территории муниципалитета действовала 1 организация.</w:t>
      </w:r>
    </w:p>
    <w:p w14:paraId="514F71C8" w14:textId="77777777" w:rsidR="00272515" w:rsidRPr="00E734F3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734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Низкое качество прогноза по этому показателю отмечается в Вадинском и Пензенском районах.</w:t>
      </w:r>
    </w:p>
    <w:p w14:paraId="6FCCF06D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19 муниципальных образованиях погрешность не превышает допустимые 10%. Наиболее высокая точность прогнозирования, менее 1%, отмечается в г. Пензе и Мокшанском районе.</w:t>
      </w:r>
    </w:p>
    <w:p w14:paraId="24307F95" w14:textId="77777777" w:rsidR="00272515" w:rsidRPr="00191CF0" w:rsidRDefault="00272515" w:rsidP="00272515">
      <w:pPr>
        <w:ind w:firstLine="851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39B45E0" w14:textId="77777777" w:rsidR="00272515" w:rsidRPr="00191CF0" w:rsidRDefault="00272515" w:rsidP="00272515">
      <w:pPr>
        <w:ind w:firstLine="851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Выводы и предложения</w:t>
      </w:r>
    </w:p>
    <w:p w14:paraId="26D49EE8" w14:textId="77777777" w:rsidR="00272515" w:rsidRPr="00632197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321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результатам проведенного анализа, можно сделать вывод, что общий уровень точности прогноза по муниципальным образованиям за 2024 год улучшился.</w:t>
      </w:r>
    </w:p>
    <w:p w14:paraId="45E0FFED" w14:textId="77777777" w:rsidR="00272515" w:rsidRPr="00632197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321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Среднее значение сводного индекса отклонения по муниципальным образованиям снизилось с 51,87% до 27,43%.</w:t>
      </w:r>
    </w:p>
    <w:p w14:paraId="63C6F22D" w14:textId="77777777" w:rsidR="00272515" w:rsidRPr="00632197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2458256" w14:textId="77777777" w:rsidR="00272515" w:rsidRPr="00632197" w:rsidRDefault="00272515" w:rsidP="0027251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3219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Динамика сводного индекса отклонений</w:t>
      </w:r>
    </w:p>
    <w:p w14:paraId="1FA5FCDA" w14:textId="77777777" w:rsidR="00272515" w:rsidRDefault="00272515" w:rsidP="0027251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3219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 муниципальным образованиям, %</w:t>
      </w:r>
    </w:p>
    <w:p w14:paraId="3DE20858" w14:textId="375AEB0D" w:rsidR="00272515" w:rsidRPr="00AA50B4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F66D7">
        <w:rPr>
          <w:b/>
          <w:bCs/>
          <w:noProof/>
        </w:rPr>
        <w:drawing>
          <wp:inline distT="0" distB="0" distL="0" distR="0" wp14:anchorId="0E5F9A2C" wp14:editId="52198046">
            <wp:extent cx="5857240" cy="2266950"/>
            <wp:effectExtent l="0" t="0" r="0" b="0"/>
            <wp:docPr id="1888753696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2366E6F2" w14:textId="77777777" w:rsidR="00272515" w:rsidRPr="00AA50B4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DB696A0" w14:textId="77777777" w:rsidR="00272515" w:rsidRPr="00AA50B4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0BD4142" w14:textId="77777777" w:rsidR="00272515" w:rsidRPr="00AA50B4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77D3F3F" w14:textId="77777777" w:rsidR="00272515" w:rsidRPr="00AA50B4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AF00531" w14:textId="77777777" w:rsidR="00272515" w:rsidRPr="00AA50B4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503F036" w14:textId="77777777" w:rsidR="00272515" w:rsidRPr="00AA50B4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322FF11" w14:textId="77777777" w:rsidR="00272515" w:rsidRPr="00AA50B4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09FF28A" w14:textId="77777777" w:rsidR="00272515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32856EC" w14:textId="77777777" w:rsidR="00272515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D9B7DD1" w14:textId="77777777" w:rsidR="00272515" w:rsidRPr="00AA50B4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1368BD8" w14:textId="77777777" w:rsidR="00272515" w:rsidRPr="00AA50B4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49FE444" w14:textId="77777777" w:rsidR="00272515" w:rsidRPr="00AA50B4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504D5DA" w14:textId="77777777" w:rsidR="00272515" w:rsidRPr="00AA50B4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58CDB2B" w14:textId="77777777" w:rsidR="00272515" w:rsidRPr="00AA50B4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7C0EBB2" w14:textId="77777777" w:rsidR="00272515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F1ED4DE" w14:textId="77777777" w:rsidR="00272515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CD9343E" w14:textId="77777777" w:rsidR="00272515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3B6286F" w14:textId="77777777" w:rsidR="00272515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E39F21B" w14:textId="77777777" w:rsidR="00272515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009D019" w14:textId="77777777" w:rsidR="00272515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3812434" w14:textId="77777777" w:rsidR="00272515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C569F8D" w14:textId="77777777" w:rsidR="00272515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233DB10" w14:textId="77777777" w:rsidR="00272515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A67AB96" w14:textId="77777777" w:rsidR="00272515" w:rsidRPr="00AA50B4" w:rsidRDefault="00272515" w:rsidP="00272515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62E6ADE" w14:textId="77777777" w:rsidR="00272515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8222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Средние значения муниципальных индексов отклонения по показателям мониторинга прогноза социально-экономического развития муниципальных районов и городских округов Пензенской области по итогам 202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Pr="00A8222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года</w:t>
      </w:r>
    </w:p>
    <w:p w14:paraId="2DC6842A" w14:textId="77777777" w:rsidR="00272515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W w:w="10240" w:type="dxa"/>
        <w:tblInd w:w="113" w:type="dxa"/>
        <w:tblLook w:val="04A0" w:firstRow="1" w:lastRow="0" w:firstColumn="1" w:lastColumn="0" w:noHBand="0" w:noVBand="1"/>
      </w:tblPr>
      <w:tblGrid>
        <w:gridCol w:w="6489"/>
        <w:gridCol w:w="1446"/>
        <w:gridCol w:w="1015"/>
        <w:gridCol w:w="1290"/>
      </w:tblGrid>
      <w:tr w:rsidR="00272515" w:rsidRPr="00B67D5B" w14:paraId="07118A19" w14:textId="77777777" w:rsidTr="00751B0F">
        <w:trPr>
          <w:trHeight w:val="1080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1DF8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7D59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Значение среднего муниципального индекса отклонения, %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9966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Рейтинг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19E45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67D5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B67D5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: индекс по итогам 2023 года</w:t>
            </w:r>
          </w:p>
        </w:tc>
      </w:tr>
      <w:tr w:rsidR="00272515" w:rsidRPr="00B67D5B" w14:paraId="70D858C8" w14:textId="77777777" w:rsidTr="00751B0F">
        <w:trPr>
          <w:trHeight w:val="90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8A11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Численность постоянного населения (среднегодовая), тыс. 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95BA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0,28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DB75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FE02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3,75</w:t>
            </w:r>
          </w:p>
        </w:tc>
      </w:tr>
      <w:tr w:rsidR="00272515" w:rsidRPr="00B67D5B" w14:paraId="3E24945A" w14:textId="77777777" w:rsidTr="00751B0F">
        <w:trPr>
          <w:trHeight w:val="90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EA7E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Среднесписочная численность работников организаций,</w:t>
            </w:r>
            <w:r w:rsidRPr="00B67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67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организациям, не относящимся к субъектам малого предпринимательства, тыс. 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A4BC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1,07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ACA6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20271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2,61</w:t>
            </w:r>
          </w:p>
        </w:tc>
      </w:tr>
      <w:tr w:rsidR="00272515" w:rsidRPr="00B67D5B" w14:paraId="2BAC9471" w14:textId="77777777" w:rsidTr="00751B0F">
        <w:trPr>
          <w:trHeight w:val="90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C0602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Номинальная начисленная среднемесячная заработная плата работников</w:t>
            </w:r>
            <w:r w:rsidRPr="00B67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67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организациях, не относящихся к субъектам малого предпринимательства,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F2EE1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3,75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3167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F0B8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4,75</w:t>
            </w:r>
          </w:p>
        </w:tc>
      </w:tr>
      <w:tr w:rsidR="00272515" w:rsidRPr="00B67D5B" w14:paraId="6140871F" w14:textId="77777777" w:rsidTr="00751B0F">
        <w:trPr>
          <w:trHeight w:val="90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857A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Фонд начисленной заработной платы всех работников</w:t>
            </w:r>
            <w:r w:rsidRPr="00B67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67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организациях, не относящихся к субъектам малого предпринимательства,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454D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4,13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78CB6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1821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4,37</w:t>
            </w:r>
          </w:p>
        </w:tc>
      </w:tr>
      <w:tr w:rsidR="00272515" w:rsidRPr="00B67D5B" w14:paraId="26913028" w14:textId="77777777" w:rsidTr="00751B0F">
        <w:trPr>
          <w:trHeight w:val="90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A800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Оборот розничной торговли</w:t>
            </w:r>
            <w:r w:rsidRPr="00B67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67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организациям, не относящимся к субъектам малого предпринимательства, млн. руб. в ценах соответствующих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5C584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9,32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737A9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3F03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5,67</w:t>
            </w:r>
          </w:p>
        </w:tc>
      </w:tr>
      <w:tr w:rsidR="00272515" w:rsidRPr="00B67D5B" w14:paraId="0BEEF087" w14:textId="77777777" w:rsidTr="00751B0F">
        <w:trPr>
          <w:trHeight w:val="90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2EBF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Ввод в действие жилых домов за счет всех источников финансирования, тыс. кв. м. общей площади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226B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18,57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40BDC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B81C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9,97</w:t>
            </w:r>
          </w:p>
        </w:tc>
      </w:tr>
      <w:tr w:rsidR="00272515" w:rsidRPr="00B67D5B" w14:paraId="50B6E54F" w14:textId="77777777" w:rsidTr="00751B0F">
        <w:trPr>
          <w:trHeight w:val="90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232A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Наличие на конец года основных фондов (средств) по остаточной балансовой стоимости,</w:t>
            </w:r>
            <w:r w:rsidRPr="00B67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67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млн. руб. в ценах соответствующих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DDF9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31,47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5985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628C6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15,42</w:t>
            </w:r>
          </w:p>
        </w:tc>
      </w:tr>
      <w:tr w:rsidR="00272515" w:rsidRPr="00B67D5B" w14:paraId="2E213EE8" w14:textId="77777777" w:rsidTr="00751B0F">
        <w:trPr>
          <w:trHeight w:val="90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D614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Численность безработных, зарегистрированных в органах государственной службы занятости, тыс. 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C7097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37,21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3AF5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A8446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22,46</w:t>
            </w:r>
          </w:p>
        </w:tc>
      </w:tr>
      <w:tr w:rsidR="00272515" w:rsidRPr="00B67D5B" w14:paraId="09723053" w14:textId="77777777" w:rsidTr="00751B0F">
        <w:trPr>
          <w:trHeight w:val="90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1D14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 продукции сельского хозяйства в хозяйствах всех категорий, млн. руб. в ценах соответствующих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35718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40,35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0EA7D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0B525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13,86</w:t>
            </w:r>
          </w:p>
        </w:tc>
      </w:tr>
      <w:tr w:rsidR="00272515" w:rsidRPr="00B67D5B" w14:paraId="293E227F" w14:textId="77777777" w:rsidTr="00751B0F">
        <w:trPr>
          <w:trHeight w:val="90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9892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Амортизация основных фондов коммерческих организаций по бухгалтерскому учету,</w:t>
            </w:r>
            <w:r w:rsidRPr="00B67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67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млн. руб. в ценах соответствующих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10A0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54,60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A011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9320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312,28</w:t>
            </w:r>
          </w:p>
        </w:tc>
      </w:tr>
      <w:tr w:rsidR="00272515" w:rsidRPr="00B67D5B" w14:paraId="78E89108" w14:textId="77777777" w:rsidTr="00751B0F">
        <w:trPr>
          <w:trHeight w:val="13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1CF4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 инвестиций в основной капитал за счет всех источников финансирования (без субъектов малого предпринимательства и параметров неформальной деятельности) – всего, млн. руб. в ценах соответствующих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AD08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58,40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FF76E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0389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38,92</w:t>
            </w:r>
          </w:p>
        </w:tc>
      </w:tr>
      <w:tr w:rsidR="00272515" w:rsidRPr="00B67D5B" w14:paraId="4D6760ED" w14:textId="77777777" w:rsidTr="00751B0F">
        <w:trPr>
          <w:trHeight w:val="90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E030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Прибыль прибыльных предприятий, млн. руб. в ценах соответствующих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543B7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63,19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98C0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CC59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47,38</w:t>
            </w:r>
          </w:p>
        </w:tc>
      </w:tr>
      <w:tr w:rsidR="00272515" w:rsidRPr="00B67D5B" w14:paraId="2A7C2ED3" w14:textId="77777777" w:rsidTr="00751B0F">
        <w:trPr>
          <w:trHeight w:val="90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41D6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Оборот общественного питания</w:t>
            </w:r>
            <w:r w:rsidRPr="00B67D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67D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организациям, не относящимся к субъектам малого предпринимательства, млн. руб. в ценах соответствующих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6B22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92,36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AE09F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3BD5" w14:textId="77777777" w:rsidR="00272515" w:rsidRPr="00B67D5B" w:rsidRDefault="00272515" w:rsidP="00751B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67D5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289,43</w:t>
            </w:r>
          </w:p>
        </w:tc>
      </w:tr>
    </w:tbl>
    <w:p w14:paraId="791D2353" w14:textId="77777777" w:rsidR="00272515" w:rsidRDefault="00272515" w:rsidP="00272515">
      <w:pPr>
        <w:tabs>
          <w:tab w:val="left" w:pos="4300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6DE11CB6" w14:textId="77777777" w:rsidR="00272515" w:rsidRPr="00B37AA2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 наибольшей точностью в отчетном периоде спрогнозирован показатель «Численность постоянного населения». Следует отметить, что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благодаря низкой волатильности</w:t>
      </w: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данный показатель ежегодно прогнозируется достаточно точно. В 2024 году </w:t>
      </w:r>
      <w:r w:rsidRPr="00B37A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точность прогнозирования показателя повысилась, индекс отклонения снизился с 3,75% до 0,28%.</w:t>
      </w:r>
    </w:p>
    <w:p w14:paraId="7017722B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37A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Высокая точность прогнозирования отмечается по показателям оплаты труда (заработная плата, численность работающих, ФОТ) отклонения по ним по сравнению с предыдущим периодом снизились и варьируются от 1 до 4%.</w:t>
      </w:r>
    </w:p>
    <w:p w14:paraId="4E83C5CB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допустимой погрешностью (менее 10%) спрогнозирован показатель «Оборот розничной торговли». При этом, необходимо отметить, что точность прогнозирования по нему снизилась и средний муниципальный индекс отклонения увеличилось с 5,67% в 2023 году до 9,32% в 2024 году.</w:t>
      </w:r>
    </w:p>
    <w:p w14:paraId="3047E56C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сравнению с предыдущим периодом снизилась точность прогнозирования по следующим показателям:</w:t>
      </w:r>
    </w:p>
    <w:p w14:paraId="5139308F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37A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«Ввод в действие жилых домов» </w:t>
      </w: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отклонение увеличилось с 9,97% в 2023 году до 18,57% в 2024 году;</w:t>
      </w:r>
    </w:p>
    <w:p w14:paraId="1A08AD00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45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«Объем продукции сельского хозяйства в хозяйствах всех категорий»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отклонение </w:t>
      </w:r>
      <w:r w:rsidRPr="00F645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увеличилось с 13,86% до 19,36%;</w:t>
      </w:r>
    </w:p>
    <w:p w14:paraId="59E1A4AD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37A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«Наличие на конец года основных фондов» </w:t>
      </w: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отклонение увеличилось с 15,42% в 2023 году до 32,04% в 2024 году;</w:t>
      </w:r>
    </w:p>
    <w:p w14:paraId="40776C38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37A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«Численность безработных, зарегистрированных в органах государственной службы занятости» </w:t>
      </w: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отклонение увеличилось с 22,46% в 2023 году до 37,21% в 2024 году;</w:t>
      </w:r>
    </w:p>
    <w:p w14:paraId="407F8559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37A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«Объем инвестиций в основной капитал» </w:t>
      </w: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отклонение увеличилось с 38,92% в 2023 году до 58,40% в 2024 году;</w:t>
      </w:r>
    </w:p>
    <w:p w14:paraId="772B7B79" w14:textId="77777777" w:rsidR="00272515" w:rsidRPr="00B37AA2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7AA2">
        <w:rPr>
          <w:rFonts w:ascii="Times New Roman" w:eastAsia="Times New Roman" w:hAnsi="Times New Roman"/>
          <w:sz w:val="28"/>
          <w:szCs w:val="28"/>
          <w:lang w:eastAsia="ru-RU"/>
        </w:rPr>
        <w:t>- «Прибыль прибыльных предприятий» отклонение увеличилось с 48,38% в 2023 году до 63,19% в 2024 году.</w:t>
      </w:r>
    </w:p>
    <w:p w14:paraId="5A2CD07C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Средний муниципальный индекс отклонения по показателю «</w:t>
      </w:r>
      <w:r w:rsidRPr="00B37A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Оборот розничной торговли</w:t>
      </w: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увеличился из-за ухудшения качества прогнозирования в Лунинском (27,43%), Земетчинском (21,71%), Пачелмском (15,97%) районах и </w:t>
      </w: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г. Пенза (16,12%).</w:t>
      </w:r>
    </w:p>
    <w:p w14:paraId="044704E2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Муниципальный индекс отклонения по показателю «</w:t>
      </w:r>
      <w:r w:rsidRPr="00B37A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Ввод в действие жилых домов</w:t>
      </w: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увеличился в связи с ухудшением качества прогнозирования в Тамалинском (с 0,95% до 19,57%), Лунинском (с 1,28% до 25,60%), Бековском (с 1,45% до 18,21%), Пачелмском (с 4,98% до 26,62%), Никольском (с 10,85% до 42,07%), Пензенском (с 15,40% до 44,25%), Белинском (с 16,67% до 29,88%), Каменском (с 20,35% до 55,18%) и Иссинском (с 26,46% до 40,30%) районах, а также в г. Кузнецке (с 29,24% до 42,14%).</w:t>
      </w:r>
    </w:p>
    <w:p w14:paraId="339311CB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45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Средний муниципальный индекс отклонения по показателю «Объем продукции сельского хозяйства в хозяйствах всех категорий» увеличился из-за ухудшения качества прогнозирования в Неверкинском (95,46%), Земетчинском (30,01%), Бековском (29,9%) и Наровчатском (28,67%) районах.</w:t>
      </w:r>
    </w:p>
    <w:p w14:paraId="2C1E5B5C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Муниципальный индекс отклонения по показателю </w:t>
      </w:r>
      <w:r w:rsidRPr="00B37A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«Наличие на конец года основных фондов» </w:t>
      </w: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увеличился из-за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ухудшения</w:t>
      </w: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качества прогнозирования в Малосердобинском (с 4,78% до 72,30%), Нижнеломовском (с 26,50% до 89,04%) и Пачелмском (с 11,43 % до 428,36%) районах.</w:t>
      </w:r>
    </w:p>
    <w:p w14:paraId="23A39E42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Муниципальный индекс отклонения по показателю </w:t>
      </w:r>
      <w:r w:rsidRPr="00B37A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«Численность безработных, зарегистрированных в органах государственной службы занятости» </w:t>
      </w: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увеличился в связи с низким качеством прогноза практически во всех муниципальных образованиях за исключением Тамалинского и Лопатинского районов.</w:t>
      </w:r>
    </w:p>
    <w:p w14:paraId="56FB088A" w14:textId="77777777" w:rsidR="00272515" w:rsidRPr="00B37AA2" w:rsidRDefault="00272515" w:rsidP="002725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Рост муниципального индекса по показателю </w:t>
      </w:r>
      <w:r w:rsidRPr="00B37A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«Объем инвестиций в основной капитал» </w:t>
      </w: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обусловлен значительным отклонением </w:t>
      </w:r>
      <w:r w:rsidRPr="00B37AA2">
        <w:rPr>
          <w:rFonts w:ascii="Times New Roman" w:hAnsi="Times New Roman"/>
          <w:sz w:val="28"/>
          <w:szCs w:val="28"/>
        </w:rPr>
        <w:t>от факта, более 100%, в Лопатинском (552,51%), Вадинском (192,52%) и Пачелмском (140,56%), районах, что свидетельствует об очень низком качестве прогнозирования.</w:t>
      </w:r>
    </w:p>
    <w:p w14:paraId="778389AB" w14:textId="77777777" w:rsidR="00272515" w:rsidRPr="00B37AA2" w:rsidRDefault="00272515" w:rsidP="00272515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B37AA2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муниципального индекса по показателю «Прибыль прибыльных предприятий» обусловлено значительным отклонением </w:t>
      </w:r>
      <w:r w:rsidRPr="00B37AA2">
        <w:rPr>
          <w:rFonts w:ascii="Times New Roman" w:hAnsi="Times New Roman"/>
          <w:sz w:val="28"/>
          <w:szCs w:val="28"/>
        </w:rPr>
        <w:t>в Городищенском (100,57%), Вадинском (168,52%) и Наровчатском (309,30%) районах.</w:t>
      </w:r>
    </w:p>
    <w:p w14:paraId="0C4568C6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Следует отметить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недопустимо высокие </w:t>
      </w: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отклонения прогнозных показателей от фактических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отдельных муниципальных районах</w:t>
      </w:r>
      <w:r w:rsidRPr="00F645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повлекли</w:t>
      </w: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собой увеличение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как </w:t>
      </w: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индексов отклонений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отдельным показателям</w:t>
      </w: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так и сводного муниципального индекса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 том числе:</w:t>
      </w:r>
    </w:p>
    <w:p w14:paraId="5DD12CF3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«Оборот общественного питания» в Малосердобинском (2100%) и Пензенском (215,24%) районах;</w:t>
      </w:r>
    </w:p>
    <w:p w14:paraId="3CB648E2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«</w:t>
      </w:r>
      <w:r w:rsidRPr="00B37A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Амортизация основных фондов коммерческих организаций по бухгалтерскому учету</w:t>
      </w: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в Малосердобинском (784,38%) и Тамалинском (288,71%) районах;</w:t>
      </w:r>
    </w:p>
    <w:p w14:paraId="3816E171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«</w:t>
      </w:r>
      <w:r w:rsidRPr="00B37AA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Наличие на конец года основных фондов (средств) по остаточной балансовой стоимости</w:t>
      </w: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в Пачелмском (428,36%) районе;</w:t>
      </w:r>
    </w:p>
    <w:p w14:paraId="60D36FA2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«Объем инвестиций в основной капитал за счет всех источников финансирования» в Лопатинском (552,51%), Вадинском (192,52%) и Пачелмском (140,56%) районах.</w:t>
      </w:r>
    </w:p>
    <w:p w14:paraId="2A6E93E9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Данные</w:t>
      </w: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факты свидетельствует об отсутствии анализа динамики показателей за отчетный период, работы с ведущими бюджетообразующими предприятиями и органами статистики.</w:t>
      </w:r>
    </w:p>
    <w:p w14:paraId="6F2D275C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Полученные результаты свидетельствуют о необходимости дальнейшего совершенствования механизма прогнозирования показателей социально-экономического развития и повышения качества разработки прогноза в целом.</w:t>
      </w:r>
    </w:p>
    <w:p w14:paraId="324BECD5" w14:textId="77777777" w:rsidR="00272515" w:rsidRPr="00191CF0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45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Необходимо отметить ответственный подход к разработке прогноза и высокую точность прогнозирования в г. Пензе, Колышлейском, Городищенском и Шемышейском районах.</w:t>
      </w:r>
    </w:p>
    <w:p w14:paraId="25C97D53" w14:textId="77777777" w:rsidR="00272515" w:rsidRPr="00191CF0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191CF0">
        <w:rPr>
          <w:rFonts w:ascii="Times New Roman" w:hAnsi="Times New Roman"/>
          <w:color w:val="000000"/>
          <w:sz w:val="28"/>
          <w:szCs w:val="28"/>
        </w:rPr>
        <w:t>На основании изложенного муниципальным районам и городским округам Пензенской области рекомендуется:</w:t>
      </w:r>
    </w:p>
    <w:p w14:paraId="3DD999BE" w14:textId="77777777" w:rsidR="00272515" w:rsidRPr="00191CF0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191CF0">
        <w:rPr>
          <w:rFonts w:ascii="Times New Roman" w:hAnsi="Times New Roman"/>
          <w:color w:val="000000"/>
          <w:sz w:val="28"/>
          <w:szCs w:val="28"/>
        </w:rPr>
        <w:t>- на основании результатов проведенного мониторинга провести анализ, выявить причины отклонений фактических значений показателей от прогнозных и подобрать наиболее приемлемый метод прогнозирования для получения высокого качества прогноза;</w:t>
      </w:r>
    </w:p>
    <w:p w14:paraId="5FEBD787" w14:textId="77777777" w:rsidR="00272515" w:rsidRPr="00191CF0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191CF0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191C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повысить ответственность специалистов, отвечающих за разработку прогноза;</w:t>
      </w:r>
    </w:p>
    <w:p w14:paraId="75B83726" w14:textId="77777777" w:rsidR="00272515" w:rsidRPr="00191CF0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191CF0">
        <w:rPr>
          <w:rFonts w:ascii="Times New Roman" w:hAnsi="Times New Roman"/>
          <w:color w:val="000000"/>
          <w:sz w:val="28"/>
          <w:szCs w:val="28"/>
        </w:rPr>
        <w:t>- проводить мониторинг выполнения показателей среднесрочного и долгосрочного прогнозов социально-экономического развития на муниципальном уровне.</w:t>
      </w:r>
    </w:p>
    <w:p w14:paraId="3728963B" w14:textId="77777777" w:rsidR="00272515" w:rsidRPr="00191CF0" w:rsidRDefault="00272515" w:rsidP="00272515">
      <w:pPr>
        <w:tabs>
          <w:tab w:val="left" w:pos="4300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Hlk118192790"/>
      <w:r w:rsidRPr="00F645CF">
        <w:rPr>
          <w:rFonts w:ascii="Times New Roman" w:hAnsi="Times New Roman"/>
          <w:color w:val="000000"/>
          <w:sz w:val="28"/>
          <w:szCs w:val="28"/>
        </w:rPr>
        <w:lastRenderedPageBreak/>
        <w:t xml:space="preserve">- экономической службе </w:t>
      </w:r>
      <w:r w:rsidRPr="00F645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Малосердобинского </w:t>
      </w:r>
      <w:r w:rsidRPr="00F645CF">
        <w:rPr>
          <w:rFonts w:ascii="Times New Roman" w:hAnsi="Times New Roman"/>
          <w:color w:val="000000"/>
          <w:sz w:val="28"/>
          <w:szCs w:val="28"/>
        </w:rPr>
        <w:t>района, занимающего последнее место в рейтинге по качеству прогнозирования, рекомендуется уделить</w:t>
      </w:r>
      <w:r w:rsidRPr="00191CF0">
        <w:rPr>
          <w:rFonts w:ascii="Times New Roman" w:hAnsi="Times New Roman"/>
          <w:color w:val="000000"/>
          <w:sz w:val="28"/>
          <w:szCs w:val="28"/>
        </w:rPr>
        <w:t xml:space="preserve"> особое внимание качеству разрабатываемых прогнозов, повышению квалификации специалистов, отвечающих за разработку прогноза, а также рассмотреть целесообразность установления персональной ответственности за качество предоставляемых материалов по прогнозированию.</w:t>
      </w:r>
    </w:p>
    <w:bookmarkEnd w:id="1"/>
    <w:p w14:paraId="2B181ECA" w14:textId="77777777" w:rsidR="00272515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761FE8D" w14:textId="77777777" w:rsidR="00272515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39EFBAA" w14:textId="65EA3C7B" w:rsidR="00272515" w:rsidRPr="00272515" w:rsidRDefault="00272515" w:rsidP="00272515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27251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Приложение </w:t>
      </w:r>
      <w:r w:rsidRPr="0027251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7251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Расчет сводного индекса отклонения прогнозных показателей по муниципальным районам, городским округам Пензенской области по итогам 2024 года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27251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(в формате </w:t>
      </w:r>
      <w:proofErr w:type="spellStart"/>
      <w:r w:rsidRPr="0027251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pdf</w:t>
      </w:r>
      <w:proofErr w:type="spellEnd"/>
      <w:r w:rsidRPr="0027251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)</w:t>
      </w:r>
      <w:r w:rsidR="00A7343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</w:p>
    <w:p w14:paraId="3529A178" w14:textId="77777777" w:rsidR="00272515" w:rsidRDefault="00272515" w:rsidP="00272515">
      <w:pP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1924440D" w14:textId="77777777" w:rsidR="00272515" w:rsidRDefault="00272515" w:rsidP="00272515">
      <w:pP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72515" w:rsidSect="00272515">
          <w:pgSz w:w="11906" w:h="16838"/>
          <w:pgMar w:top="851" w:right="851" w:bottom="737" w:left="1134" w:header="709" w:footer="709" w:gutter="0"/>
          <w:cols w:space="708"/>
          <w:docGrid w:linePitch="360"/>
        </w:sectPr>
      </w:pPr>
    </w:p>
    <w:tbl>
      <w:tblPr>
        <w:tblW w:w="15017" w:type="dxa"/>
        <w:tblLook w:val="04A0" w:firstRow="1" w:lastRow="0" w:firstColumn="1" w:lastColumn="0" w:noHBand="0" w:noVBand="1"/>
      </w:tblPr>
      <w:tblGrid>
        <w:gridCol w:w="1275"/>
        <w:gridCol w:w="5955"/>
        <w:gridCol w:w="2693"/>
        <w:gridCol w:w="1236"/>
        <w:gridCol w:w="1236"/>
        <w:gridCol w:w="1306"/>
        <w:gridCol w:w="1316"/>
      </w:tblGrid>
      <w:tr w:rsidR="00C67416" w:rsidRPr="00C67416" w14:paraId="3608A311" w14:textId="77777777" w:rsidTr="00072753">
        <w:trPr>
          <w:trHeight w:val="315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761715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" w:name="RANGE!B1:H42"/>
            <w:bookmarkEnd w:id="2"/>
          </w:p>
        </w:tc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6034DB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D88030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BA87FB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FF7A28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E1F6E" w14:textId="77777777" w:rsidR="00C67416" w:rsidRPr="00072753" w:rsidRDefault="00C67416" w:rsidP="00C6741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7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C67416" w:rsidRPr="00C67416" w14:paraId="210589DB" w14:textId="77777777" w:rsidTr="00072753">
        <w:trPr>
          <w:trHeight w:val="1065"/>
        </w:trPr>
        <w:tc>
          <w:tcPr>
            <w:tcW w:w="1501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64906E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Расчет ведомственного индекса отклонения прогнозных показателей, разработанных исполнительными органами государственной власти Пензенской области в соответствии с Методическими рекомендациями по мониторингу выполнения основных показателей среднесрочного прогноза социально-экономического развития по итогам 2024 года</w:t>
            </w:r>
          </w:p>
        </w:tc>
      </w:tr>
      <w:tr w:rsidR="00C67416" w:rsidRPr="00C67416" w14:paraId="75080720" w14:textId="77777777" w:rsidTr="00072753">
        <w:trPr>
          <w:trHeight w:val="102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4B61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№ показателя в приложении 1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CA9C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7C4F9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5981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6741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Пi</w:t>
            </w:r>
            <w:proofErr w:type="spellEnd"/>
            <w:r w:rsidRPr="00C6741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(оценка)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638F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6741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Пi</w:t>
            </w:r>
            <w:proofErr w:type="spellEnd"/>
            <w:r w:rsidRPr="00C6741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(факт)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398C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6741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Qi</w:t>
            </w:r>
            <w:proofErr w:type="spellEnd"/>
            <w:r w:rsidRPr="00C6741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модуль </w:t>
            </w:r>
            <w:proofErr w:type="spellStart"/>
            <w:r w:rsidRPr="00C6741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относитель-ного</w:t>
            </w:r>
            <w:proofErr w:type="spellEnd"/>
            <w:r w:rsidRPr="00C6741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отклонения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6661C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6741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Iв</w:t>
            </w:r>
            <w:proofErr w:type="spellEnd"/>
            <w:r w:rsidRPr="00C6741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6741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ведомствен-ный</w:t>
            </w:r>
            <w:proofErr w:type="spellEnd"/>
            <w:r w:rsidRPr="00C6741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индекс отклонения</w:t>
            </w:r>
          </w:p>
        </w:tc>
      </w:tr>
      <w:tr w:rsidR="00C67416" w:rsidRPr="00C67416" w14:paraId="1E51F3EF" w14:textId="77777777" w:rsidTr="00072753">
        <w:trPr>
          <w:trHeight w:val="300"/>
        </w:trPr>
        <w:tc>
          <w:tcPr>
            <w:tcW w:w="150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5006575A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Министерство экономического развития и промышленности Пензенской области</w:t>
            </w:r>
          </w:p>
        </w:tc>
      </w:tr>
      <w:tr w:rsidR="00C67416" w:rsidRPr="00C67416" w14:paraId="1B29D0E6" w14:textId="77777777" w:rsidTr="00072753">
        <w:trPr>
          <w:trHeight w:val="61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E24D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92F1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отгруженной продукции (работ, услуг)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F01C3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38A5A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511461,20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F89D8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539424,60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7F3B8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5,47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7ADA1ED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4,93</w:t>
            </w:r>
          </w:p>
        </w:tc>
      </w:tr>
      <w:tr w:rsidR="00C67416" w:rsidRPr="00C67416" w14:paraId="445A24C0" w14:textId="77777777" w:rsidTr="00072753">
        <w:trPr>
          <w:trHeight w:val="61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CC31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935F6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Добыча полезных ископаемых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071F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E132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DFBB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FD4FC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6,90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AC667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3BB77CDE" w14:textId="77777777" w:rsidTr="00072753">
        <w:trPr>
          <w:trHeight w:val="61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B097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7EB3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Обрабатывающие производства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07DCF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2D71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111,40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0737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CA78B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1,30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43BD1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7872506E" w14:textId="77777777" w:rsidTr="00072753">
        <w:trPr>
          <w:trHeight w:val="61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367B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BA64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76087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D87D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103,60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3E4CA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CE7C1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4,10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3D72B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0C955E99" w14:textId="77777777" w:rsidTr="00072753">
        <w:trPr>
          <w:trHeight w:val="93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4748F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81AA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3504B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18B2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101,90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C617E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112,90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5104B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11,00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C7D6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662C7580" w14:textId="77777777" w:rsidTr="00072753">
        <w:trPr>
          <w:trHeight w:val="61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ABED0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2A5A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Индекс потребительских цен на конец года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6AAD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к декабрю предыдущего года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96096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107,20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B5082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C41ED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9EB7F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19FDD1EE" w14:textId="77777777" w:rsidTr="00072753">
        <w:trPr>
          <w:trHeight w:val="61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8DD5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1885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платных услуг населению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36EA0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AE78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92068,50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CE9DD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93981,00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4ACF0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2,08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2B02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579F7955" w14:textId="77777777" w:rsidTr="00072753">
        <w:trPr>
          <w:trHeight w:val="61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6802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F8AE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Экспорт товаров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E10E3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млн. долл. США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AC0F6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279,90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77CF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271,10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5FCE4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3,14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959D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0C721D80" w14:textId="77777777" w:rsidTr="00072753">
        <w:trPr>
          <w:trHeight w:val="61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8ECB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BE37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Импорт товаров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60DDC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млн. долл. США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8E83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349,70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DE60D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299,73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F2582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14,29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EF38D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201DC326" w14:textId="77777777" w:rsidTr="00072753">
        <w:trPr>
          <w:trHeight w:val="61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7099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60CB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малых и средних предприятий, включая микропредприятия (на конец года)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22F6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21B0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12566,00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5379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12424,00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A306F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E63F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4920CBD4" w14:textId="77777777" w:rsidTr="00072753">
        <w:trPr>
          <w:trHeight w:val="129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44E7D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7.2.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E867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Среднесписочная численность работников малых и средних предприятий, включая микропредприятия (без внешних совместителей)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78CD5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CA47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76,30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EC39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78,60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105CB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3,01</w:t>
            </w: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3AB3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40A36911" w14:textId="77777777" w:rsidTr="00072753">
        <w:trPr>
          <w:trHeight w:val="61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65F3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DE44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 малых и средних предприятий, включая микропредприятия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9904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FEC7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515400,00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6E758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550100,00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5E6A6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6,73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3351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3F0551F3" w14:textId="77777777" w:rsidTr="00072753">
        <w:trPr>
          <w:trHeight w:val="61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8552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173F3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Инвестиции в основной капитал, всего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A3753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4358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135076,60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58CA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138368,00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24B6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2,44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201A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1FE6A1A8" w14:textId="77777777" w:rsidTr="00072753">
        <w:trPr>
          <w:trHeight w:val="300"/>
        </w:trPr>
        <w:tc>
          <w:tcPr>
            <w:tcW w:w="150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A259C36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Министерство строительства, транспорта и дорожного хозяйства Пензенской области</w:t>
            </w:r>
          </w:p>
        </w:tc>
      </w:tr>
      <w:tr w:rsidR="00C67416" w:rsidRPr="00C67416" w14:paraId="18540A98" w14:textId="77777777" w:rsidTr="00072753">
        <w:trPr>
          <w:trHeight w:val="61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5BEE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B89E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работ, выполненных по виду деятельности "Строительство"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4251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ценах соответствующих лет, млн 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EAC0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63603,60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8B2F9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66712,30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6D187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4,89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0C00DE12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6,14</w:t>
            </w:r>
          </w:p>
        </w:tc>
      </w:tr>
      <w:tr w:rsidR="00C67416" w:rsidRPr="00C67416" w14:paraId="10552A99" w14:textId="77777777" w:rsidTr="00072753">
        <w:trPr>
          <w:trHeight w:val="61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2994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1417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 в действие жилых домов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6A3FA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кв. м в общей площади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7DB2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E144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1054,50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DD21C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7,38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3EEE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4A33C335" w14:textId="77777777" w:rsidTr="00072753">
        <w:trPr>
          <w:trHeight w:val="300"/>
        </w:trPr>
        <w:tc>
          <w:tcPr>
            <w:tcW w:w="150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E4FE5E8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Министерство труда, социальной защиты и демографии Пензенской области</w:t>
            </w:r>
          </w:p>
        </w:tc>
      </w:tr>
      <w:tr w:rsidR="00C67416" w:rsidRPr="00C67416" w14:paraId="77174C6E" w14:textId="77777777" w:rsidTr="00072753">
        <w:trPr>
          <w:trHeight w:val="61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9E7F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4A98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Численность населения (в среднегодовом исчислении)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AEF7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1C69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1229,90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CA73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1231,50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9839B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582AA561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1,43</w:t>
            </w:r>
          </w:p>
        </w:tc>
      </w:tr>
      <w:tr w:rsidR="00C67416" w:rsidRPr="00C67416" w14:paraId="7497F59F" w14:textId="77777777" w:rsidTr="00072753">
        <w:trPr>
          <w:trHeight w:val="61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2221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23BB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Коэффициент естественного прироста населения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8B4F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1000 человек населения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2F64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D311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EE71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3,33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58E4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02F8F55E" w14:textId="77777777" w:rsidTr="00072753">
        <w:trPr>
          <w:trHeight w:val="61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C9F4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4C69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Реальные располагаемые денежные доходы населения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4FE1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к предыдущему году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4EC4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A1D9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AEA5B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1,90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8DE3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5F1629CF" w14:textId="77777777" w:rsidTr="00072753">
        <w:trPr>
          <w:trHeight w:val="61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B798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10.2.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51A25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Прожиточный минимум в среднем на душу населения (в среднем за год)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8D96B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руб. в месяц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A31C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12981,00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3165B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12981,00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68D8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DA64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301160E9" w14:textId="77777777" w:rsidTr="00072753">
        <w:trPr>
          <w:trHeight w:val="619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ED139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11.1.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6E8C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Численность рабочей силы в возрасте 15 - 72 лет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A7A1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C339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658,20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345BC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645,20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29F1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EAEC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79180579" w14:textId="77777777" w:rsidTr="00072753">
        <w:trPr>
          <w:trHeight w:val="93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AA2E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11.3.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070E4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Номинальная начисленная среднемесячная заработная плата работников организаций в целом по региону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ADEC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216F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56547,80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6BF9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57467,60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628B1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1,63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E43E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0D975414" w14:textId="77777777" w:rsidTr="00072753">
        <w:trPr>
          <w:trHeight w:val="159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E2D4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11.4.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99D6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Среднемесячная начисленная заработная плата наемных работников в организациях, у индивидуальных предпринимателей и физических лиц (среднемесячный доход от трудовой деятельности)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70C6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D2118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41416,30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3BF0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43002,00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0BBA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3,83</w:t>
            </w: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B87C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75E7950F" w14:textId="77777777" w:rsidTr="00072753">
        <w:trPr>
          <w:trHeight w:val="619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2D61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11.6.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9FED" w14:textId="77777777" w:rsidR="00344642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зарегистрированной безработицы </w:t>
            </w:r>
          </w:p>
          <w:p w14:paraId="53B698DC" w14:textId="72E925E1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 конец года)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19B9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9F6E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714E8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9C8DF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BDC85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0B2BEB83" w14:textId="77777777" w:rsidTr="00072753">
        <w:trPr>
          <w:trHeight w:val="158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49DF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11.8.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DFBA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Численность безработных, зарегистрированных в государственных учреждениях, созданных на территории Пензенской области в целях осуществления полномочий в сфере занятости населения (на конец года)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DC1B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C31D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1,60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0F810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1,70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776B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6,25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3C95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47DA13B2" w14:textId="77777777" w:rsidTr="00072753">
        <w:trPr>
          <w:trHeight w:val="300"/>
        </w:trPr>
        <w:tc>
          <w:tcPr>
            <w:tcW w:w="150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EF6A9BA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Министерство сельского хозяйства Пензенской области</w:t>
            </w:r>
          </w:p>
        </w:tc>
      </w:tr>
      <w:tr w:rsidR="00C67416" w:rsidRPr="00C67416" w14:paraId="5C20D69C" w14:textId="77777777" w:rsidTr="00072753">
        <w:trPr>
          <w:trHeight w:val="61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6650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BCBF3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Продукция сельского хозяйства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0EA8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13BB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178155,60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B875" w14:textId="6B6E1913" w:rsidR="00C67416" w:rsidRPr="008377EF" w:rsidRDefault="008377EF" w:rsidP="008377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77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183851,00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1644E" w14:textId="2B93D9BE" w:rsidR="00C67416" w:rsidRPr="00C67416" w:rsidRDefault="008377EF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3,20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941CB4B" w14:textId="620AC80B" w:rsidR="00C67416" w:rsidRPr="00C67416" w:rsidRDefault="000A0789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1,73</w:t>
            </w:r>
          </w:p>
        </w:tc>
      </w:tr>
      <w:tr w:rsidR="00C67416" w:rsidRPr="00C67416" w14:paraId="558440EB" w14:textId="77777777" w:rsidTr="00072753">
        <w:trPr>
          <w:trHeight w:val="61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5FAC2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C763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ACB73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млрд 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D43F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362,25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23B7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361,30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91179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41AD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290FD4CC" w14:textId="77777777" w:rsidTr="00072753">
        <w:trPr>
          <w:trHeight w:val="300"/>
        </w:trPr>
        <w:tc>
          <w:tcPr>
            <w:tcW w:w="150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DBB649E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Министерство финансов Пензенской области</w:t>
            </w:r>
          </w:p>
        </w:tc>
      </w:tr>
      <w:tr w:rsidR="00C67416" w:rsidRPr="00C67416" w14:paraId="1E8CEA1E" w14:textId="77777777" w:rsidTr="00072753">
        <w:trPr>
          <w:trHeight w:val="61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4FF4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F262B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консолидированного бюджета Пензенской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3A5A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7CEB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112074,30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FE57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115477,80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92793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3,04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DFFEF52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4,97</w:t>
            </w:r>
          </w:p>
        </w:tc>
      </w:tr>
      <w:tr w:rsidR="00C67416" w:rsidRPr="00C67416" w14:paraId="6D2E8F2E" w14:textId="77777777" w:rsidTr="00072753">
        <w:trPr>
          <w:trHeight w:val="61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45C3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FA8C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консолидированного бюджета Пензенской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82E2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млн руб.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F085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118625,50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DEAD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110425,40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5942C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6,91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499A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2D469612" w14:textId="77777777" w:rsidTr="00072753">
        <w:trPr>
          <w:trHeight w:val="300"/>
        </w:trPr>
        <w:tc>
          <w:tcPr>
            <w:tcW w:w="150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E37C9D4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Министерство жилищно-коммунального хозяйства и гражданской защиты населения Пензенской области</w:t>
            </w:r>
          </w:p>
        </w:tc>
      </w:tr>
      <w:tr w:rsidR="00C67416" w:rsidRPr="00C67416" w14:paraId="7B166E5A" w14:textId="77777777" w:rsidTr="00072753">
        <w:trPr>
          <w:trHeight w:val="702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F208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C6F1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Потребление электроэнергии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E191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млн. кВт. 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6599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4928,00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063F8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5077,50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7DC37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3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6A87E984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3,38</w:t>
            </w:r>
          </w:p>
        </w:tc>
      </w:tr>
      <w:tr w:rsidR="00C67416" w:rsidRPr="00C67416" w14:paraId="0A1F07A9" w14:textId="77777777" w:rsidTr="00072753">
        <w:trPr>
          <w:trHeight w:val="91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6723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567AF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Средние тарифы на электроэнергию, отпущенную различным категориям потребителей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605E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руб./тыс. кВт. 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CE0A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3328,70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31F2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3314,80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9E25D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4,86</w:t>
            </w:r>
          </w:p>
        </w:tc>
        <w:tc>
          <w:tcPr>
            <w:tcW w:w="13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CE46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6EF72682" w14:textId="77777777" w:rsidTr="00072753">
        <w:trPr>
          <w:trHeight w:val="126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82A8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2.9.</w:t>
            </w:r>
          </w:p>
        </w:tc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63F0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Индекс тарифов на электроэнергию, отпущенную различным категориям потребителей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C028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период с начала года к соответствующему периоду предыдущего года, %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B3CC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56EC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103,70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19652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4,86</w:t>
            </w: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818F" w14:textId="77777777" w:rsidR="00C67416" w:rsidRPr="00C67416" w:rsidRDefault="00C67416" w:rsidP="00C6741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416" w:rsidRPr="00C67416" w14:paraId="39131509" w14:textId="77777777" w:rsidTr="00072753">
        <w:trPr>
          <w:trHeight w:val="300"/>
        </w:trPr>
        <w:tc>
          <w:tcPr>
            <w:tcW w:w="150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A8D4815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Министерство здравоохранения Пензенской области</w:t>
            </w:r>
          </w:p>
        </w:tc>
      </w:tr>
      <w:tr w:rsidR="00C67416" w:rsidRPr="00C67416" w14:paraId="53D9E47F" w14:textId="77777777" w:rsidTr="00072753">
        <w:trPr>
          <w:trHeight w:val="61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D815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060FE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Ожидаемая продолжительность жизни при рождении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AF10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лет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DAE4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72,66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541C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71,42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BCF8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4A0473E" w14:textId="77777777" w:rsidR="00C67416" w:rsidRPr="00C67416" w:rsidRDefault="00C67416" w:rsidP="00C674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6741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1,71</w:t>
            </w:r>
          </w:p>
        </w:tc>
      </w:tr>
    </w:tbl>
    <w:p w14:paraId="07EC85D9" w14:textId="77777777" w:rsidR="00C67416" w:rsidRDefault="00C67416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4433FC6E" w14:textId="77777777" w:rsidR="00C67416" w:rsidRDefault="00C67416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1C6B61BC" w14:textId="77777777" w:rsidR="004B6334" w:rsidRDefault="004B6334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01C175D2" w14:textId="77777777" w:rsidR="004B6334" w:rsidRDefault="004B6334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054B6A7F" w14:textId="77777777" w:rsidR="004B6334" w:rsidRDefault="004B6334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17F9754B" w14:textId="77777777" w:rsidR="004B6334" w:rsidRDefault="004B6334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2C10625F" w14:textId="77777777" w:rsidR="004B6334" w:rsidRDefault="004B6334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47AE86E7" w14:textId="77777777" w:rsidR="004B6334" w:rsidRDefault="004B6334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227A4FFA" w14:textId="77777777" w:rsidR="004B6334" w:rsidRDefault="004B6334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41E21080" w14:textId="77777777" w:rsidR="004B6334" w:rsidRDefault="004B6334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4701D5DD" w14:textId="77777777" w:rsidR="004B6334" w:rsidRDefault="004B6334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540F293E" w14:textId="77777777" w:rsidR="004B6334" w:rsidRDefault="004B6334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065BE76C" w14:textId="77777777" w:rsidR="004B6334" w:rsidRDefault="004B6334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70164314" w14:textId="77777777" w:rsidR="004B6334" w:rsidRDefault="004B6334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3B6FA5B9" w14:textId="77777777" w:rsidR="004B6334" w:rsidRDefault="004B6334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31932C79" w14:textId="77777777" w:rsidR="004B6334" w:rsidRDefault="004B6334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7317A88D" w14:textId="77777777" w:rsidR="004B6334" w:rsidRDefault="004B6334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3238210A" w14:textId="77777777" w:rsidR="004B6334" w:rsidRDefault="004B6334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0A4B5C0D" w14:textId="77777777" w:rsidR="004B6334" w:rsidRDefault="004B6334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7969B174" w14:textId="77777777" w:rsidR="004B6334" w:rsidRDefault="004B6334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60DD25C9" w14:textId="77777777" w:rsidR="004B6334" w:rsidRDefault="004B6334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498F7772" w14:textId="77777777" w:rsidR="004B6334" w:rsidRDefault="004B6334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tbl>
      <w:tblPr>
        <w:tblW w:w="15320" w:type="dxa"/>
        <w:tblLook w:val="04A0" w:firstRow="1" w:lastRow="0" w:firstColumn="1" w:lastColumn="0" w:noHBand="0" w:noVBand="1"/>
      </w:tblPr>
      <w:tblGrid>
        <w:gridCol w:w="1237"/>
        <w:gridCol w:w="5700"/>
        <w:gridCol w:w="2700"/>
        <w:gridCol w:w="1440"/>
        <w:gridCol w:w="1440"/>
        <w:gridCol w:w="1440"/>
        <w:gridCol w:w="1440"/>
      </w:tblGrid>
      <w:tr w:rsidR="004B6334" w:rsidRPr="004B6334" w14:paraId="5AFBF262" w14:textId="77777777" w:rsidTr="004B6334">
        <w:trPr>
          <w:trHeight w:val="315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5D97AA" w14:textId="77777777" w:rsidR="004B6334" w:rsidRPr="004B6334" w:rsidRDefault="004B6334" w:rsidP="004B63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" w:name="RANGE!B1:H24"/>
            <w:bookmarkEnd w:id="3"/>
          </w:p>
        </w:tc>
        <w:tc>
          <w:tcPr>
            <w:tcW w:w="5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01C64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9DF4AE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09493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08B50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BD79F2" w14:textId="77777777" w:rsidR="004B6334" w:rsidRPr="00072753" w:rsidRDefault="004B6334" w:rsidP="004B63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7275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4B6334" w:rsidRPr="004B6334" w14:paraId="0BC412A5" w14:textId="77777777" w:rsidTr="004B6334">
        <w:trPr>
          <w:trHeight w:val="1215"/>
        </w:trPr>
        <w:tc>
          <w:tcPr>
            <w:tcW w:w="153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8E7FA8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Расчет ведомственного индекса отклонения прогнозных показателей, разработанных исполнительными органами государственной власти Пензенской области, в соответствии с Методическими рекомендациями по мониторингу выполнения основных показателей долгосрочного прогноза социально-экономического развития по итогам 2024 года</w:t>
            </w:r>
          </w:p>
        </w:tc>
      </w:tr>
      <w:tr w:rsidR="004B6334" w:rsidRPr="004B6334" w14:paraId="35CD169F" w14:textId="77777777" w:rsidTr="004B6334">
        <w:trPr>
          <w:trHeight w:val="120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09C5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№ показателя в приложении 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D5DB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262C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b/>
                <w:bCs/>
                <w:lang w:eastAsia="ru-RU"/>
              </w:rPr>
              <w:t>Единица измерения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4A50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proofErr w:type="spellStart"/>
            <w:r w:rsidRPr="004B6334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Пi</w:t>
            </w:r>
            <w:proofErr w:type="spellEnd"/>
            <w:r w:rsidRPr="004B6334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(оценка)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C138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4B6334">
              <w:rPr>
                <w:rFonts w:ascii="Times New Roman" w:eastAsia="Times New Roman" w:hAnsi="Times New Roman"/>
                <w:b/>
                <w:bCs/>
                <w:lang w:eastAsia="ru-RU"/>
              </w:rPr>
              <w:t>Пi</w:t>
            </w:r>
            <w:proofErr w:type="spellEnd"/>
            <w:r w:rsidRPr="004B6334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(факт)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593D" w14:textId="79CCE13C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4B6334">
              <w:rPr>
                <w:rFonts w:ascii="Times New Roman" w:eastAsia="Times New Roman" w:hAnsi="Times New Roman"/>
                <w:b/>
                <w:bCs/>
                <w:lang w:eastAsia="ru-RU"/>
              </w:rPr>
              <w:t>Qi</w:t>
            </w:r>
            <w:proofErr w:type="spellEnd"/>
            <w:r w:rsidRPr="004B6334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модуль </w:t>
            </w:r>
            <w:proofErr w:type="spellStart"/>
            <w:r w:rsidRPr="004B6334">
              <w:rPr>
                <w:rFonts w:ascii="Times New Roman" w:eastAsia="Times New Roman" w:hAnsi="Times New Roman"/>
                <w:b/>
                <w:bCs/>
                <w:lang w:eastAsia="ru-RU"/>
              </w:rPr>
              <w:t>относитель-ного</w:t>
            </w:r>
            <w:proofErr w:type="spellEnd"/>
            <w:r w:rsidRPr="004B6334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отклонения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2F1C" w14:textId="43E9A51F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4B6334">
              <w:rPr>
                <w:rFonts w:ascii="Times New Roman" w:eastAsia="Times New Roman" w:hAnsi="Times New Roman"/>
                <w:b/>
                <w:bCs/>
                <w:lang w:eastAsia="ru-RU"/>
              </w:rPr>
              <w:t>Iв</w:t>
            </w:r>
            <w:proofErr w:type="spellEnd"/>
            <w:r w:rsidRPr="004B6334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4B6334">
              <w:rPr>
                <w:rFonts w:ascii="Times New Roman" w:eastAsia="Times New Roman" w:hAnsi="Times New Roman"/>
                <w:b/>
                <w:bCs/>
                <w:lang w:eastAsia="ru-RU"/>
              </w:rPr>
              <w:t>ведомствен-ный</w:t>
            </w:r>
            <w:proofErr w:type="spellEnd"/>
            <w:r w:rsidRPr="004B6334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индекс отклонения</w:t>
            </w:r>
          </w:p>
        </w:tc>
      </w:tr>
      <w:tr w:rsidR="004B6334" w:rsidRPr="004B6334" w14:paraId="7735C979" w14:textId="77777777" w:rsidTr="004B6334">
        <w:trPr>
          <w:trHeight w:val="402"/>
        </w:trPr>
        <w:tc>
          <w:tcPr>
            <w:tcW w:w="15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7E99640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Министерство экономического развития и промышленности Пензенской области</w:t>
            </w:r>
          </w:p>
        </w:tc>
      </w:tr>
      <w:tr w:rsidR="004B6334" w:rsidRPr="004B6334" w14:paraId="0DD23B96" w14:textId="77777777" w:rsidTr="004B6334">
        <w:trPr>
          <w:trHeight w:val="9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F17F2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9BD2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Индекс промышленного производства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9942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86E3D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FE57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F23D3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5,70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E2E35C9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3,70</w:t>
            </w:r>
          </w:p>
        </w:tc>
      </w:tr>
      <w:tr w:rsidR="004B6334" w:rsidRPr="004B6334" w14:paraId="71E76D22" w14:textId="77777777" w:rsidTr="004B6334">
        <w:trPr>
          <w:trHeight w:val="9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9B9E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EA18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Индекс потребительских цен в среднем за год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7190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соответствующему периоду предыдущего года, 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68CB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1886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6B248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259AF" w14:textId="77777777" w:rsidR="004B6334" w:rsidRPr="004B6334" w:rsidRDefault="004B6334" w:rsidP="004B63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6334" w:rsidRPr="004B6334" w14:paraId="4A07E028" w14:textId="77777777" w:rsidTr="004B6334">
        <w:trPr>
          <w:trHeight w:val="9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29408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D94A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платных услуг населению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DB251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E9D5F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3E71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7BD8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C04FC" w14:textId="77777777" w:rsidR="004B6334" w:rsidRPr="004B6334" w:rsidRDefault="004B6334" w:rsidP="004B63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6334" w:rsidRPr="004B6334" w14:paraId="3C13C447" w14:textId="77777777" w:rsidTr="004B6334">
        <w:trPr>
          <w:trHeight w:val="9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499B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8870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Индекс физического объема инвестиций (в основной капитал) за счет всех источников финансирования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1552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9C17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10C1F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B0584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F3CFE" w14:textId="77777777" w:rsidR="004B6334" w:rsidRPr="004B6334" w:rsidRDefault="004B6334" w:rsidP="004B63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6334" w:rsidRPr="004B6334" w14:paraId="6B18EC31" w14:textId="77777777" w:rsidTr="004B6334">
        <w:trPr>
          <w:trHeight w:val="402"/>
        </w:trPr>
        <w:tc>
          <w:tcPr>
            <w:tcW w:w="15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5D5D9B3A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Министерство строительства, транспорта и дорожного хозяйства Пензенской области</w:t>
            </w:r>
          </w:p>
        </w:tc>
      </w:tr>
      <w:tr w:rsidR="004B6334" w:rsidRPr="004B6334" w14:paraId="62FE2B74" w14:textId="77777777" w:rsidTr="004B6334">
        <w:trPr>
          <w:trHeight w:val="9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F1C3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974A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Индекс производства по виду деятельности "Строительство" (Раздел F)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B65F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0EBD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4A49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590B7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601D66D0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11,24</w:t>
            </w:r>
          </w:p>
        </w:tc>
      </w:tr>
      <w:tr w:rsidR="004B6334" w:rsidRPr="004B6334" w14:paraId="547F054E" w14:textId="77777777" w:rsidTr="004B6334">
        <w:trPr>
          <w:trHeight w:val="9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5DE93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9AA5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Ввод в действие жилых домов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A5B3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кв. м в общей площади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A43C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7454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1054,50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E8EE3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21,48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22C" w14:textId="77777777" w:rsidR="004B6334" w:rsidRPr="004B6334" w:rsidRDefault="004B6334" w:rsidP="004B63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6334" w:rsidRPr="004B6334" w14:paraId="70CEA00D" w14:textId="77777777" w:rsidTr="004B6334">
        <w:trPr>
          <w:trHeight w:val="402"/>
        </w:trPr>
        <w:tc>
          <w:tcPr>
            <w:tcW w:w="15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7FB5A94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Министерство труда, социальной защиты и демографии Пензенской области</w:t>
            </w:r>
          </w:p>
        </w:tc>
      </w:tr>
      <w:tr w:rsidR="004B6334" w:rsidRPr="004B6334" w14:paraId="1FE1EE00" w14:textId="77777777" w:rsidTr="004B6334">
        <w:trPr>
          <w:trHeight w:val="9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0D15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5A9EF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Численность населения (в среднегодовом исчислении)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FE5A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BC4F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1265,60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CE9C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1231,50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FB15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2,69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5331283F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10,09</w:t>
            </w:r>
          </w:p>
        </w:tc>
      </w:tr>
      <w:tr w:rsidR="004B6334" w:rsidRPr="004B6334" w14:paraId="74EA4A16" w14:textId="77777777" w:rsidTr="004B6334">
        <w:trPr>
          <w:trHeight w:val="9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4C2B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E31D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B309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родившихся на 1000 человек населения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68DE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C539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D480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2,20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E2690" w14:textId="77777777" w:rsidR="004B6334" w:rsidRPr="004B6334" w:rsidRDefault="004B6334" w:rsidP="004B63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6334" w:rsidRPr="004B6334" w14:paraId="344DE46D" w14:textId="77777777" w:rsidTr="004B6334">
        <w:trPr>
          <w:trHeight w:val="9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1DDC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621A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6FD6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умерших на 1000 человек населения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5043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E0D49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4F0E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5CC5D" w14:textId="77777777" w:rsidR="004B6334" w:rsidRPr="004B6334" w:rsidRDefault="004B6334" w:rsidP="004B63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6334" w:rsidRPr="004B6334" w14:paraId="3B98D149" w14:textId="77777777" w:rsidTr="004B6334">
        <w:trPr>
          <w:trHeight w:val="9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0FEDE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10.3.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593F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Численность населения с денежными доходами ниже прожиточного минимума к общей численности населения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2B47B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B06B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6DBA1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7267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594C2" w14:textId="77777777" w:rsidR="004B6334" w:rsidRPr="004B6334" w:rsidRDefault="004B6334" w:rsidP="004B63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6334" w:rsidRPr="004B6334" w14:paraId="52F72594" w14:textId="77777777" w:rsidTr="004B6334">
        <w:trPr>
          <w:trHeight w:val="9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AC44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11.2.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AA93D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Численность занятых в экономике (среднегодовая) (в методологии баланса трудовых ресурсов)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3872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1220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581,60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55FA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588,80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4E6F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9C069" w14:textId="77777777" w:rsidR="004B6334" w:rsidRPr="004B6334" w:rsidRDefault="004B6334" w:rsidP="004B63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6334" w:rsidRPr="004B6334" w14:paraId="02BAD96C" w14:textId="77777777" w:rsidTr="004B6334">
        <w:trPr>
          <w:trHeight w:val="9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89C3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11.5.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E65D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безработицы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669D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D4CF0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D33A1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9A48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2,20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57A1F" w14:textId="77777777" w:rsidR="004B6334" w:rsidRPr="004B6334" w:rsidRDefault="004B6334" w:rsidP="004B63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6334" w:rsidRPr="004B6334" w14:paraId="170C4F68" w14:textId="77777777" w:rsidTr="004B6334">
        <w:trPr>
          <w:trHeight w:val="9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3B5E9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11.7.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95E5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численность безработных граждан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5267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F597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44FDC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98FD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50,35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21BAB" w14:textId="77777777" w:rsidR="004B6334" w:rsidRPr="004B6334" w:rsidRDefault="004B6334" w:rsidP="004B63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6334" w:rsidRPr="004B6334" w14:paraId="210F69C0" w14:textId="77777777" w:rsidTr="004B6334">
        <w:trPr>
          <w:trHeight w:val="9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0BEB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11.9.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069E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заработной платы работников организаций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C9D8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млрд руб.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3344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EA2B4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203,53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958E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17,85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A2AFA" w14:textId="77777777" w:rsidR="004B6334" w:rsidRPr="004B6334" w:rsidRDefault="004B6334" w:rsidP="004B63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6334" w:rsidRPr="004B6334" w14:paraId="513EA043" w14:textId="77777777" w:rsidTr="004B6334">
        <w:trPr>
          <w:trHeight w:val="402"/>
        </w:trPr>
        <w:tc>
          <w:tcPr>
            <w:tcW w:w="15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6758B5AD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Министерство сельского хозяйства Пензенской области</w:t>
            </w:r>
          </w:p>
        </w:tc>
      </w:tr>
      <w:tr w:rsidR="004B6334" w:rsidRPr="004B6334" w14:paraId="7C1107CC" w14:textId="77777777" w:rsidTr="00344642">
        <w:trPr>
          <w:trHeight w:val="9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1230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1B233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Индекс производства продукции сельского хозяйства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E248C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D66A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8C42" w14:textId="629C1E8F" w:rsidR="004B6334" w:rsidRPr="004B6334" w:rsidRDefault="00187202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37B18" w14:textId="08D10C1E" w:rsidR="004B6334" w:rsidRPr="004B6334" w:rsidRDefault="00187202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6,20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04062DA0" w14:textId="32B984F4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4,</w:t>
            </w:r>
            <w:r w:rsidR="001872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4B63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4B6334" w:rsidRPr="004B6334" w14:paraId="4320088E" w14:textId="77777777" w:rsidTr="00344642">
        <w:trPr>
          <w:trHeight w:val="90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118D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5.4.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F0C31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6F97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F21D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102,70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F88F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C5E5E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FC82" w14:textId="77777777" w:rsidR="004B6334" w:rsidRPr="004B6334" w:rsidRDefault="004B6334" w:rsidP="004B63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6334" w:rsidRPr="004B6334" w14:paraId="357A1FB3" w14:textId="77777777" w:rsidTr="00344642">
        <w:trPr>
          <w:trHeight w:val="900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F6D8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8C57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 общественного питания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D793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E072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102,80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B382D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106,20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6F59F" w14:textId="77777777" w:rsidR="004B6334" w:rsidRPr="004B6334" w:rsidRDefault="004B6334" w:rsidP="004B63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B63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3,40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99B1" w14:textId="77777777" w:rsidR="004B6334" w:rsidRPr="004B6334" w:rsidRDefault="004B6334" w:rsidP="004B63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5A8E4131" w14:textId="77777777" w:rsidR="004B6334" w:rsidRDefault="004B6334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2CAD7F14" w14:textId="77777777" w:rsidR="00072753" w:rsidRDefault="00072753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313900B4" w14:textId="77777777" w:rsidR="00072753" w:rsidRDefault="00072753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1BCE798C" w14:textId="77777777" w:rsidR="00072753" w:rsidRDefault="00072753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066474D3" w14:textId="77777777" w:rsidR="00072753" w:rsidRDefault="00072753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4A2812A8" w14:textId="77777777" w:rsidR="00072753" w:rsidRDefault="00072753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5CAAA9C4" w14:textId="77777777" w:rsidR="00072753" w:rsidRDefault="00072753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1587DEB5" w14:textId="77777777" w:rsidR="00072753" w:rsidRDefault="00072753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39926832" w14:textId="77777777" w:rsidR="00072753" w:rsidRDefault="00072753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559941F0" w14:textId="77777777" w:rsidR="00072753" w:rsidRDefault="00072753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12F021ED" w14:textId="77777777" w:rsidR="00072753" w:rsidRDefault="00072753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6BDFA43E" w14:textId="77777777" w:rsidR="00072753" w:rsidRDefault="00072753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6840417A" w14:textId="77777777" w:rsidR="00072753" w:rsidRDefault="00072753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5EF80CE4" w14:textId="77777777" w:rsidR="00072753" w:rsidRDefault="00072753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1E16B346" w14:textId="77777777" w:rsidR="00072753" w:rsidRDefault="00072753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56646688" w14:textId="77777777" w:rsidR="00072753" w:rsidRDefault="00072753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776255A3" w14:textId="77777777" w:rsidR="00072753" w:rsidRDefault="00072753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431BD02C" w14:textId="77777777" w:rsidR="00072753" w:rsidRDefault="00072753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3F99541B" w14:textId="77777777" w:rsidR="00072753" w:rsidRDefault="00072753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40EA3443" w14:textId="77777777" w:rsidR="00072753" w:rsidRDefault="00072753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02FC6FFA" w14:textId="77777777" w:rsidR="00072753" w:rsidRDefault="00072753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736938AA" w14:textId="77777777" w:rsidR="00072753" w:rsidRDefault="00072753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p w14:paraId="4062A1B3" w14:textId="77777777" w:rsidR="00072753" w:rsidRDefault="00072753" w:rsidP="00C64596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</w:p>
    <w:sectPr w:rsidR="00072753" w:rsidSect="008545AC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132"/>
    <w:rsid w:val="000054C2"/>
    <w:rsid w:val="00005732"/>
    <w:rsid w:val="00006C56"/>
    <w:rsid w:val="00010BCF"/>
    <w:rsid w:val="000112F2"/>
    <w:rsid w:val="00013305"/>
    <w:rsid w:val="000243E8"/>
    <w:rsid w:val="00024840"/>
    <w:rsid w:val="0004269B"/>
    <w:rsid w:val="00045841"/>
    <w:rsid w:val="00051A84"/>
    <w:rsid w:val="00055FA2"/>
    <w:rsid w:val="00056ABE"/>
    <w:rsid w:val="00056B5B"/>
    <w:rsid w:val="00061C8C"/>
    <w:rsid w:val="00062DA0"/>
    <w:rsid w:val="00072753"/>
    <w:rsid w:val="000739D7"/>
    <w:rsid w:val="000739F4"/>
    <w:rsid w:val="00081E94"/>
    <w:rsid w:val="00085EBD"/>
    <w:rsid w:val="00086F4D"/>
    <w:rsid w:val="00090DE0"/>
    <w:rsid w:val="00095526"/>
    <w:rsid w:val="000A0789"/>
    <w:rsid w:val="000B3D9B"/>
    <w:rsid w:val="000C2565"/>
    <w:rsid w:val="000C60BF"/>
    <w:rsid w:val="000D0A2C"/>
    <w:rsid w:val="000D0D6E"/>
    <w:rsid w:val="000D1FDF"/>
    <w:rsid w:val="000D4E50"/>
    <w:rsid w:val="000D547A"/>
    <w:rsid w:val="000E68EE"/>
    <w:rsid w:val="000F21E7"/>
    <w:rsid w:val="000F4FD9"/>
    <w:rsid w:val="0010281B"/>
    <w:rsid w:val="00106374"/>
    <w:rsid w:val="0011077F"/>
    <w:rsid w:val="001142F8"/>
    <w:rsid w:val="001153BC"/>
    <w:rsid w:val="00116EFD"/>
    <w:rsid w:val="00123190"/>
    <w:rsid w:val="00126ADD"/>
    <w:rsid w:val="0013269C"/>
    <w:rsid w:val="00134620"/>
    <w:rsid w:val="0013669B"/>
    <w:rsid w:val="00140569"/>
    <w:rsid w:val="00141C4C"/>
    <w:rsid w:val="001527C4"/>
    <w:rsid w:val="001544F0"/>
    <w:rsid w:val="00154EE0"/>
    <w:rsid w:val="001574C8"/>
    <w:rsid w:val="00160649"/>
    <w:rsid w:val="00163ACA"/>
    <w:rsid w:val="00166B42"/>
    <w:rsid w:val="00173CBE"/>
    <w:rsid w:val="0017752F"/>
    <w:rsid w:val="00182424"/>
    <w:rsid w:val="00187202"/>
    <w:rsid w:val="00192D69"/>
    <w:rsid w:val="00193A7C"/>
    <w:rsid w:val="0019459F"/>
    <w:rsid w:val="001968A4"/>
    <w:rsid w:val="00197A26"/>
    <w:rsid w:val="001A160D"/>
    <w:rsid w:val="001A19B3"/>
    <w:rsid w:val="001A7791"/>
    <w:rsid w:val="001B1F29"/>
    <w:rsid w:val="001B48E7"/>
    <w:rsid w:val="001B6092"/>
    <w:rsid w:val="001B6E3E"/>
    <w:rsid w:val="001C0AF4"/>
    <w:rsid w:val="001C4BB6"/>
    <w:rsid w:val="001D2EFB"/>
    <w:rsid w:val="001E3E73"/>
    <w:rsid w:val="001F0672"/>
    <w:rsid w:val="001F4725"/>
    <w:rsid w:val="001F6C24"/>
    <w:rsid w:val="001F7127"/>
    <w:rsid w:val="00206A88"/>
    <w:rsid w:val="00206DB5"/>
    <w:rsid w:val="00226BDB"/>
    <w:rsid w:val="002331A4"/>
    <w:rsid w:val="002331AD"/>
    <w:rsid w:val="00242039"/>
    <w:rsid w:val="002450BB"/>
    <w:rsid w:val="00251D3C"/>
    <w:rsid w:val="0025310C"/>
    <w:rsid w:val="00257B3E"/>
    <w:rsid w:val="00257FBE"/>
    <w:rsid w:val="00263616"/>
    <w:rsid w:val="0027070D"/>
    <w:rsid w:val="00272515"/>
    <w:rsid w:val="0029784D"/>
    <w:rsid w:val="002A4671"/>
    <w:rsid w:val="002A54D3"/>
    <w:rsid w:val="002C4226"/>
    <w:rsid w:val="002C4D95"/>
    <w:rsid w:val="002D0338"/>
    <w:rsid w:val="002D04E6"/>
    <w:rsid w:val="002D0548"/>
    <w:rsid w:val="002D3193"/>
    <w:rsid w:val="002D561C"/>
    <w:rsid w:val="002E0CA7"/>
    <w:rsid w:val="002F5224"/>
    <w:rsid w:val="002F5E0E"/>
    <w:rsid w:val="002F699D"/>
    <w:rsid w:val="00303335"/>
    <w:rsid w:val="003101DE"/>
    <w:rsid w:val="00311D04"/>
    <w:rsid w:val="0032247E"/>
    <w:rsid w:val="003250E5"/>
    <w:rsid w:val="0032535E"/>
    <w:rsid w:val="003267D0"/>
    <w:rsid w:val="003275C9"/>
    <w:rsid w:val="0034013F"/>
    <w:rsid w:val="00343C3A"/>
    <w:rsid w:val="00344642"/>
    <w:rsid w:val="0034543A"/>
    <w:rsid w:val="0034557F"/>
    <w:rsid w:val="00346757"/>
    <w:rsid w:val="0035473A"/>
    <w:rsid w:val="003554B6"/>
    <w:rsid w:val="00355703"/>
    <w:rsid w:val="00370453"/>
    <w:rsid w:val="00377A47"/>
    <w:rsid w:val="003832F6"/>
    <w:rsid w:val="00383DE3"/>
    <w:rsid w:val="00385DCD"/>
    <w:rsid w:val="00387546"/>
    <w:rsid w:val="003875BB"/>
    <w:rsid w:val="003A1517"/>
    <w:rsid w:val="003A43BB"/>
    <w:rsid w:val="003B0004"/>
    <w:rsid w:val="003B240D"/>
    <w:rsid w:val="003B3F12"/>
    <w:rsid w:val="003B5BB0"/>
    <w:rsid w:val="003C042F"/>
    <w:rsid w:val="003C1228"/>
    <w:rsid w:val="003C1C76"/>
    <w:rsid w:val="003C6CBA"/>
    <w:rsid w:val="003C7219"/>
    <w:rsid w:val="003D11B9"/>
    <w:rsid w:val="003D6193"/>
    <w:rsid w:val="003D6762"/>
    <w:rsid w:val="003F118B"/>
    <w:rsid w:val="003F497E"/>
    <w:rsid w:val="004160B3"/>
    <w:rsid w:val="00420489"/>
    <w:rsid w:val="004208BD"/>
    <w:rsid w:val="00432ECD"/>
    <w:rsid w:val="00434308"/>
    <w:rsid w:val="00435792"/>
    <w:rsid w:val="00445C24"/>
    <w:rsid w:val="00451023"/>
    <w:rsid w:val="004524B4"/>
    <w:rsid w:val="00463442"/>
    <w:rsid w:val="00464616"/>
    <w:rsid w:val="00471653"/>
    <w:rsid w:val="00480F4C"/>
    <w:rsid w:val="00487D01"/>
    <w:rsid w:val="00491B91"/>
    <w:rsid w:val="004B22ED"/>
    <w:rsid w:val="004B3F6E"/>
    <w:rsid w:val="004B6334"/>
    <w:rsid w:val="004B74E4"/>
    <w:rsid w:val="004C0735"/>
    <w:rsid w:val="004C0AE0"/>
    <w:rsid w:val="004C228F"/>
    <w:rsid w:val="004C3679"/>
    <w:rsid w:val="004C3954"/>
    <w:rsid w:val="004D25D8"/>
    <w:rsid w:val="004D3D50"/>
    <w:rsid w:val="004D4AB1"/>
    <w:rsid w:val="004D6024"/>
    <w:rsid w:val="004E29A9"/>
    <w:rsid w:val="004E4269"/>
    <w:rsid w:val="004E4522"/>
    <w:rsid w:val="004E6DD2"/>
    <w:rsid w:val="004F0898"/>
    <w:rsid w:val="004F128A"/>
    <w:rsid w:val="004F4F75"/>
    <w:rsid w:val="004F52FF"/>
    <w:rsid w:val="0050381B"/>
    <w:rsid w:val="0051602A"/>
    <w:rsid w:val="00516157"/>
    <w:rsid w:val="0052096C"/>
    <w:rsid w:val="0052183C"/>
    <w:rsid w:val="00533C5D"/>
    <w:rsid w:val="00541F26"/>
    <w:rsid w:val="00546329"/>
    <w:rsid w:val="005667E3"/>
    <w:rsid w:val="0057651E"/>
    <w:rsid w:val="005805F3"/>
    <w:rsid w:val="005809A4"/>
    <w:rsid w:val="00581561"/>
    <w:rsid w:val="00591170"/>
    <w:rsid w:val="005948D7"/>
    <w:rsid w:val="00597942"/>
    <w:rsid w:val="00597951"/>
    <w:rsid w:val="005A01FC"/>
    <w:rsid w:val="005A45B3"/>
    <w:rsid w:val="005B76F2"/>
    <w:rsid w:val="005C3238"/>
    <w:rsid w:val="005D0511"/>
    <w:rsid w:val="005D0F5F"/>
    <w:rsid w:val="005D3F4B"/>
    <w:rsid w:val="005D6D1A"/>
    <w:rsid w:val="005E6D91"/>
    <w:rsid w:val="005F483D"/>
    <w:rsid w:val="00604BB4"/>
    <w:rsid w:val="00606A6E"/>
    <w:rsid w:val="0060717C"/>
    <w:rsid w:val="00607244"/>
    <w:rsid w:val="00617584"/>
    <w:rsid w:val="00624264"/>
    <w:rsid w:val="00632BA4"/>
    <w:rsid w:val="00633132"/>
    <w:rsid w:val="00634D34"/>
    <w:rsid w:val="00635D5D"/>
    <w:rsid w:val="006415B4"/>
    <w:rsid w:val="006428E6"/>
    <w:rsid w:val="0065160F"/>
    <w:rsid w:val="00661218"/>
    <w:rsid w:val="00662928"/>
    <w:rsid w:val="0066740B"/>
    <w:rsid w:val="00682B1D"/>
    <w:rsid w:val="00687581"/>
    <w:rsid w:val="006958D6"/>
    <w:rsid w:val="006A3E28"/>
    <w:rsid w:val="006A6C7B"/>
    <w:rsid w:val="006B1799"/>
    <w:rsid w:val="006C1E73"/>
    <w:rsid w:val="006C2C34"/>
    <w:rsid w:val="006D11B1"/>
    <w:rsid w:val="006D4A68"/>
    <w:rsid w:val="006E3CC6"/>
    <w:rsid w:val="006E3F53"/>
    <w:rsid w:val="006F54A3"/>
    <w:rsid w:val="006F7120"/>
    <w:rsid w:val="006F78D7"/>
    <w:rsid w:val="007113DD"/>
    <w:rsid w:val="007120E1"/>
    <w:rsid w:val="00720D33"/>
    <w:rsid w:val="00727364"/>
    <w:rsid w:val="00731C9A"/>
    <w:rsid w:val="00733518"/>
    <w:rsid w:val="0073378D"/>
    <w:rsid w:val="007403EF"/>
    <w:rsid w:val="00747194"/>
    <w:rsid w:val="00753D2B"/>
    <w:rsid w:val="00763D05"/>
    <w:rsid w:val="00764BB5"/>
    <w:rsid w:val="0077006D"/>
    <w:rsid w:val="00777B6C"/>
    <w:rsid w:val="007819D7"/>
    <w:rsid w:val="00782D44"/>
    <w:rsid w:val="00791EDC"/>
    <w:rsid w:val="0079356E"/>
    <w:rsid w:val="007A3053"/>
    <w:rsid w:val="007B0DAB"/>
    <w:rsid w:val="007B25F2"/>
    <w:rsid w:val="007B6D6E"/>
    <w:rsid w:val="007B6E2D"/>
    <w:rsid w:val="007C38C3"/>
    <w:rsid w:val="007C4845"/>
    <w:rsid w:val="007D0715"/>
    <w:rsid w:val="007E32D7"/>
    <w:rsid w:val="00803F7D"/>
    <w:rsid w:val="00805C4B"/>
    <w:rsid w:val="008113DA"/>
    <w:rsid w:val="00812B1B"/>
    <w:rsid w:val="00817B7E"/>
    <w:rsid w:val="00822E89"/>
    <w:rsid w:val="00831649"/>
    <w:rsid w:val="00836E3E"/>
    <w:rsid w:val="008377EF"/>
    <w:rsid w:val="008512A6"/>
    <w:rsid w:val="00851C2E"/>
    <w:rsid w:val="008528EC"/>
    <w:rsid w:val="008545AC"/>
    <w:rsid w:val="00854B0E"/>
    <w:rsid w:val="00860986"/>
    <w:rsid w:val="008627E1"/>
    <w:rsid w:val="00863A3E"/>
    <w:rsid w:val="00866185"/>
    <w:rsid w:val="00874357"/>
    <w:rsid w:val="008777EF"/>
    <w:rsid w:val="00882B66"/>
    <w:rsid w:val="0088300C"/>
    <w:rsid w:val="00884646"/>
    <w:rsid w:val="00886B50"/>
    <w:rsid w:val="008900BD"/>
    <w:rsid w:val="008909F7"/>
    <w:rsid w:val="008923F2"/>
    <w:rsid w:val="0089267A"/>
    <w:rsid w:val="0089396D"/>
    <w:rsid w:val="00897C03"/>
    <w:rsid w:val="008C26FF"/>
    <w:rsid w:val="008C7FEC"/>
    <w:rsid w:val="008E2609"/>
    <w:rsid w:val="008E689C"/>
    <w:rsid w:val="008F01AD"/>
    <w:rsid w:val="008F5AB9"/>
    <w:rsid w:val="0090178A"/>
    <w:rsid w:val="009059C1"/>
    <w:rsid w:val="009105FC"/>
    <w:rsid w:val="0091280E"/>
    <w:rsid w:val="0092205C"/>
    <w:rsid w:val="009309B4"/>
    <w:rsid w:val="00930E2B"/>
    <w:rsid w:val="00931E6C"/>
    <w:rsid w:val="0094249E"/>
    <w:rsid w:val="00946671"/>
    <w:rsid w:val="009569E6"/>
    <w:rsid w:val="00963600"/>
    <w:rsid w:val="00967900"/>
    <w:rsid w:val="0098022E"/>
    <w:rsid w:val="009847BE"/>
    <w:rsid w:val="00996081"/>
    <w:rsid w:val="00997863"/>
    <w:rsid w:val="009A23A9"/>
    <w:rsid w:val="009A5BE8"/>
    <w:rsid w:val="009B6F17"/>
    <w:rsid w:val="009C088A"/>
    <w:rsid w:val="009C2F09"/>
    <w:rsid w:val="009C3B3F"/>
    <w:rsid w:val="009C578A"/>
    <w:rsid w:val="009D0509"/>
    <w:rsid w:val="009D1BE8"/>
    <w:rsid w:val="009F05BF"/>
    <w:rsid w:val="009F08A8"/>
    <w:rsid w:val="009F1C64"/>
    <w:rsid w:val="009F383F"/>
    <w:rsid w:val="009F5C50"/>
    <w:rsid w:val="00A00A9D"/>
    <w:rsid w:val="00A0152D"/>
    <w:rsid w:val="00A037BA"/>
    <w:rsid w:val="00A04F3C"/>
    <w:rsid w:val="00A050CA"/>
    <w:rsid w:val="00A06001"/>
    <w:rsid w:val="00A15B87"/>
    <w:rsid w:val="00A16C7A"/>
    <w:rsid w:val="00A31B1C"/>
    <w:rsid w:val="00A3621C"/>
    <w:rsid w:val="00A3778F"/>
    <w:rsid w:val="00A44D38"/>
    <w:rsid w:val="00A4622E"/>
    <w:rsid w:val="00A50CAF"/>
    <w:rsid w:val="00A51F95"/>
    <w:rsid w:val="00A52D6F"/>
    <w:rsid w:val="00A630BC"/>
    <w:rsid w:val="00A7343E"/>
    <w:rsid w:val="00A9743D"/>
    <w:rsid w:val="00AA62E7"/>
    <w:rsid w:val="00AB0FE3"/>
    <w:rsid w:val="00AB3DF4"/>
    <w:rsid w:val="00AB5FBE"/>
    <w:rsid w:val="00AB6BC5"/>
    <w:rsid w:val="00AB6C5A"/>
    <w:rsid w:val="00AC60EF"/>
    <w:rsid w:val="00AD0763"/>
    <w:rsid w:val="00AD5563"/>
    <w:rsid w:val="00AD6A36"/>
    <w:rsid w:val="00AE4508"/>
    <w:rsid w:val="00AE52AF"/>
    <w:rsid w:val="00AE5401"/>
    <w:rsid w:val="00AF2D71"/>
    <w:rsid w:val="00AF432E"/>
    <w:rsid w:val="00AF6832"/>
    <w:rsid w:val="00B01699"/>
    <w:rsid w:val="00B0227B"/>
    <w:rsid w:val="00B106D3"/>
    <w:rsid w:val="00B130CA"/>
    <w:rsid w:val="00B148E1"/>
    <w:rsid w:val="00B22FFC"/>
    <w:rsid w:val="00B2527A"/>
    <w:rsid w:val="00B347CA"/>
    <w:rsid w:val="00B365E1"/>
    <w:rsid w:val="00B43A70"/>
    <w:rsid w:val="00B505C4"/>
    <w:rsid w:val="00B50660"/>
    <w:rsid w:val="00B64CBE"/>
    <w:rsid w:val="00B71795"/>
    <w:rsid w:val="00B82A2E"/>
    <w:rsid w:val="00B833A8"/>
    <w:rsid w:val="00B87AA7"/>
    <w:rsid w:val="00BA46D8"/>
    <w:rsid w:val="00BA68DA"/>
    <w:rsid w:val="00BC10C2"/>
    <w:rsid w:val="00BC69D8"/>
    <w:rsid w:val="00BC7CE5"/>
    <w:rsid w:val="00BF05E4"/>
    <w:rsid w:val="00BF111C"/>
    <w:rsid w:val="00BF2177"/>
    <w:rsid w:val="00BF4811"/>
    <w:rsid w:val="00BF4AFB"/>
    <w:rsid w:val="00BF5693"/>
    <w:rsid w:val="00C0210E"/>
    <w:rsid w:val="00C05B4B"/>
    <w:rsid w:val="00C121A7"/>
    <w:rsid w:val="00C15FDC"/>
    <w:rsid w:val="00C17240"/>
    <w:rsid w:val="00C21B17"/>
    <w:rsid w:val="00C23D24"/>
    <w:rsid w:val="00C25529"/>
    <w:rsid w:val="00C25F5B"/>
    <w:rsid w:val="00C32574"/>
    <w:rsid w:val="00C32B5F"/>
    <w:rsid w:val="00C412B7"/>
    <w:rsid w:val="00C431A1"/>
    <w:rsid w:val="00C45740"/>
    <w:rsid w:val="00C45BC7"/>
    <w:rsid w:val="00C463FE"/>
    <w:rsid w:val="00C51429"/>
    <w:rsid w:val="00C51646"/>
    <w:rsid w:val="00C51A18"/>
    <w:rsid w:val="00C57689"/>
    <w:rsid w:val="00C61D23"/>
    <w:rsid w:val="00C61E3D"/>
    <w:rsid w:val="00C64596"/>
    <w:rsid w:val="00C66A9C"/>
    <w:rsid w:val="00C67416"/>
    <w:rsid w:val="00C73F4F"/>
    <w:rsid w:val="00C75282"/>
    <w:rsid w:val="00C75786"/>
    <w:rsid w:val="00C952FB"/>
    <w:rsid w:val="00CA06DC"/>
    <w:rsid w:val="00CA1924"/>
    <w:rsid w:val="00CA287E"/>
    <w:rsid w:val="00CA643C"/>
    <w:rsid w:val="00CB010A"/>
    <w:rsid w:val="00CB5E47"/>
    <w:rsid w:val="00CD6D00"/>
    <w:rsid w:val="00CE4EA7"/>
    <w:rsid w:val="00CF4B84"/>
    <w:rsid w:val="00CF4FEB"/>
    <w:rsid w:val="00D03318"/>
    <w:rsid w:val="00D06B39"/>
    <w:rsid w:val="00D10764"/>
    <w:rsid w:val="00D12865"/>
    <w:rsid w:val="00D12DDC"/>
    <w:rsid w:val="00D136BF"/>
    <w:rsid w:val="00D21ACC"/>
    <w:rsid w:val="00D27CDC"/>
    <w:rsid w:val="00D34B1D"/>
    <w:rsid w:val="00D34EEA"/>
    <w:rsid w:val="00D43399"/>
    <w:rsid w:val="00D459B0"/>
    <w:rsid w:val="00D50488"/>
    <w:rsid w:val="00D53E9B"/>
    <w:rsid w:val="00D77905"/>
    <w:rsid w:val="00D81F6B"/>
    <w:rsid w:val="00D84620"/>
    <w:rsid w:val="00D91194"/>
    <w:rsid w:val="00DB6DC6"/>
    <w:rsid w:val="00DC01C1"/>
    <w:rsid w:val="00DC415E"/>
    <w:rsid w:val="00DD119C"/>
    <w:rsid w:val="00DD1406"/>
    <w:rsid w:val="00DD28BB"/>
    <w:rsid w:val="00DD2923"/>
    <w:rsid w:val="00DD2998"/>
    <w:rsid w:val="00DD4240"/>
    <w:rsid w:val="00DD70B1"/>
    <w:rsid w:val="00DD79D2"/>
    <w:rsid w:val="00E005F6"/>
    <w:rsid w:val="00E025DC"/>
    <w:rsid w:val="00E07073"/>
    <w:rsid w:val="00E07FC4"/>
    <w:rsid w:val="00E1398D"/>
    <w:rsid w:val="00E17147"/>
    <w:rsid w:val="00E24D73"/>
    <w:rsid w:val="00E33539"/>
    <w:rsid w:val="00E33B8F"/>
    <w:rsid w:val="00E35009"/>
    <w:rsid w:val="00E36033"/>
    <w:rsid w:val="00E36080"/>
    <w:rsid w:val="00E379E0"/>
    <w:rsid w:val="00E541CA"/>
    <w:rsid w:val="00E61208"/>
    <w:rsid w:val="00E6301D"/>
    <w:rsid w:val="00E63F82"/>
    <w:rsid w:val="00E67894"/>
    <w:rsid w:val="00E71D9F"/>
    <w:rsid w:val="00E76A83"/>
    <w:rsid w:val="00E82AE1"/>
    <w:rsid w:val="00E8712B"/>
    <w:rsid w:val="00E97996"/>
    <w:rsid w:val="00EA1332"/>
    <w:rsid w:val="00EC3EA3"/>
    <w:rsid w:val="00ED0DAD"/>
    <w:rsid w:val="00ED44E8"/>
    <w:rsid w:val="00ED6FD6"/>
    <w:rsid w:val="00EE1E03"/>
    <w:rsid w:val="00EF1654"/>
    <w:rsid w:val="00EF7983"/>
    <w:rsid w:val="00F054F9"/>
    <w:rsid w:val="00F1194D"/>
    <w:rsid w:val="00F13F0C"/>
    <w:rsid w:val="00F23AA9"/>
    <w:rsid w:val="00F34B36"/>
    <w:rsid w:val="00F3701A"/>
    <w:rsid w:val="00F4108F"/>
    <w:rsid w:val="00F44E47"/>
    <w:rsid w:val="00F50576"/>
    <w:rsid w:val="00F56F5B"/>
    <w:rsid w:val="00F625F1"/>
    <w:rsid w:val="00F65536"/>
    <w:rsid w:val="00F711AD"/>
    <w:rsid w:val="00F72537"/>
    <w:rsid w:val="00F74053"/>
    <w:rsid w:val="00F77ED0"/>
    <w:rsid w:val="00F81264"/>
    <w:rsid w:val="00F87683"/>
    <w:rsid w:val="00FA47AA"/>
    <w:rsid w:val="00FA79E5"/>
    <w:rsid w:val="00FB0D6D"/>
    <w:rsid w:val="00FC3A59"/>
    <w:rsid w:val="00FD060E"/>
    <w:rsid w:val="00FD4D7F"/>
    <w:rsid w:val="00FD586F"/>
    <w:rsid w:val="00FD6188"/>
    <w:rsid w:val="00FD7C02"/>
    <w:rsid w:val="00FE045F"/>
    <w:rsid w:val="00FE3CF0"/>
    <w:rsid w:val="00FF3BAB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E0FCA"/>
  <w15:docId w15:val="{EE3D7B44-2425-434F-9BAA-AFC76AA19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31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3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3132"/>
    <w:rPr>
      <w:rFonts w:ascii="Tahoma" w:eastAsia="Calibri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C32B5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32B5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32B5F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32B5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32B5F"/>
    <w:rPr>
      <w:rFonts w:ascii="Calibri" w:eastAsia="Calibri" w:hAnsi="Calibri" w:cs="Times New Roman"/>
      <w:b/>
      <w:bCs/>
      <w:sz w:val="20"/>
      <w:szCs w:val="20"/>
    </w:rPr>
  </w:style>
  <w:style w:type="table" w:styleId="aa">
    <w:name w:val="Table Grid"/>
    <w:basedOn w:val="a1"/>
    <w:uiPriority w:val="59"/>
    <w:rsid w:val="007E3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6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7.xml"/><Relationship Id="rId18" Type="http://schemas.openxmlformats.org/officeDocument/2006/relationships/chart" Target="charts/chart12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hart" Target="charts/chart15.xml"/><Relationship Id="rId7" Type="http://schemas.openxmlformats.org/officeDocument/2006/relationships/chart" Target="charts/chart2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5" Type="http://schemas.openxmlformats.org/officeDocument/2006/relationships/chart" Target="charts/chart19.xml"/><Relationship Id="rId2" Type="http://schemas.openxmlformats.org/officeDocument/2006/relationships/styles" Target="styles.xml"/><Relationship Id="rId16" Type="http://schemas.openxmlformats.org/officeDocument/2006/relationships/chart" Target="charts/chart10.xml"/><Relationship Id="rId20" Type="http://schemas.openxmlformats.org/officeDocument/2006/relationships/chart" Target="charts/chart14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hart" Target="charts/chart5.xml"/><Relationship Id="rId24" Type="http://schemas.openxmlformats.org/officeDocument/2006/relationships/chart" Target="charts/chart18.xml"/><Relationship Id="rId5" Type="http://schemas.openxmlformats.org/officeDocument/2006/relationships/chart" Target="charts/chart1.xml"/><Relationship Id="rId15" Type="http://schemas.openxmlformats.org/officeDocument/2006/relationships/chart" Target="charts/chart9.xml"/><Relationship Id="rId23" Type="http://schemas.openxmlformats.org/officeDocument/2006/relationships/chart" Target="charts/chart17.xml"/><Relationship Id="rId10" Type="http://schemas.openxmlformats.org/officeDocument/2006/relationships/chart" Target="charts/chart4.xml"/><Relationship Id="rId19" Type="http://schemas.openxmlformats.org/officeDocument/2006/relationships/chart" Target="charts/chart1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chart" Target="charts/chart8.xml"/><Relationship Id="rId22" Type="http://schemas.openxmlformats.org/officeDocument/2006/relationships/chart" Target="charts/chart16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&#1057;&#1091;&#1073;&#1073;&#1086;&#1090;&#1080;&#1085;&#1072;\&#1052;&#1086;&#1085;&#1080;&#1090;&#1086;&#1088;&#1080;&#1085;&#1075;%20&#1048;&#1054;&#1043;&#1042;\&#1048;&#1054;&#1043;&#1042;%20&#1089;&#1088;&#1077;&#1076;&#1085;&#1077;&#1089;&#1088;&#1086;&#1095;&#1085;&#1099;&#1081;_2024%2023102025.xlsx" TargetMode="Externa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user\&#1057;&#1091;&#1073;&#1073;&#1086;&#1090;&#1080;&#1085;&#1072;\&#1055;&#1088;&#1086;&#1075;&#1085;&#1086;&#1079;\&#1103;%20&#1055;&#1088;&#1080;&#1083;&#1086;&#1078;&#1077;&#1085;&#1080;&#1077;%20&#1054;&#1052;&#1057;&#1059;%202024.xlsx" TargetMode="External"/><Relationship Id="rId1" Type="http://schemas.openxmlformats.org/officeDocument/2006/relationships/themeOverride" Target="../theme/themeOverride6.xml"/></Relationships>
</file>

<file path=word/charts/_rels/chart1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user\&#1057;&#1091;&#1073;&#1073;&#1086;&#1090;&#1080;&#1085;&#1072;\&#1055;&#1088;&#1086;&#1075;&#1085;&#1086;&#1079;\&#1103;%20&#1055;&#1088;&#1080;&#1083;&#1086;&#1078;&#1077;&#1085;&#1080;&#1077;%20&#1054;&#1052;&#1057;&#1059;%202024.xlsx" TargetMode="External"/><Relationship Id="rId1" Type="http://schemas.openxmlformats.org/officeDocument/2006/relationships/themeOverride" Target="../theme/themeOverride7.xml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user\&#1057;&#1091;&#1073;&#1073;&#1086;&#1090;&#1080;&#1085;&#1072;\&#1055;&#1088;&#1086;&#1075;&#1085;&#1086;&#1079;\&#1103;%20&#1055;&#1088;&#1080;&#1083;&#1086;&#1078;&#1077;&#1085;&#1080;&#1077;%20&#1054;&#1052;&#1057;&#1059;%202024%2024%2009%202025.xlsx" TargetMode="External"/><Relationship Id="rId1" Type="http://schemas.openxmlformats.org/officeDocument/2006/relationships/themeOverride" Target="../theme/themeOverride8.xml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user\&#1057;&#1091;&#1073;&#1073;&#1086;&#1090;&#1080;&#1085;&#1072;\&#1055;&#1088;&#1086;&#1075;&#1085;&#1086;&#1079;\&#1103;%20&#1055;&#1088;&#1080;&#1083;&#1086;&#1078;&#1077;&#1085;&#1080;&#1077;%20&#1054;&#1052;&#1057;&#1059;%202024%2024%2009%202025.xlsx" TargetMode="External"/><Relationship Id="rId1" Type="http://schemas.openxmlformats.org/officeDocument/2006/relationships/themeOverride" Target="../theme/themeOverride9.xml"/></Relationships>
</file>

<file path=word/charts/_rels/chart14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user\&#1057;&#1091;&#1073;&#1073;&#1086;&#1090;&#1080;&#1085;&#1072;\&#1055;&#1088;&#1086;&#1075;&#1085;&#1086;&#1079;\&#1103;%20&#1055;&#1088;&#1080;&#1083;&#1086;&#1078;&#1077;&#1085;&#1080;&#1077;%20&#1054;&#1052;&#1057;&#1059;%202024.xlsx" TargetMode="External"/><Relationship Id="rId1" Type="http://schemas.openxmlformats.org/officeDocument/2006/relationships/themeOverride" Target="../theme/themeOverride10.xml"/></Relationships>
</file>

<file path=word/charts/_rels/chart15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user\&#1057;&#1091;&#1073;&#1073;&#1086;&#1090;&#1080;&#1085;&#1072;\&#1055;&#1088;&#1086;&#1075;&#1085;&#1086;&#1079;\&#1103;%20&#1055;&#1088;&#1080;&#1083;&#1086;&#1078;&#1077;&#1085;&#1080;&#1077;%20&#1054;&#1052;&#1057;&#1059;%202024.xlsx" TargetMode="External"/><Relationship Id="rId1" Type="http://schemas.openxmlformats.org/officeDocument/2006/relationships/themeOverride" Target="../theme/themeOverride11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file:///C:\Users\user\&#1057;&#1091;&#1073;&#1073;&#1086;&#1090;&#1080;&#1085;&#1072;\&#1055;&#1088;&#1086;&#1075;&#1085;&#1086;&#1079;\&#1103;%20&#1055;&#1088;&#1080;&#1083;&#1086;&#1078;&#1077;&#1085;&#1080;&#1077;%20&#1054;&#1052;&#1057;&#1059;%202024%2014.10.25.xlsx" TargetMode="External"/></Relationships>
</file>

<file path=word/charts/_rels/chart17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user\&#1057;&#1091;&#1073;&#1073;&#1086;&#1090;&#1080;&#1085;&#1072;\&#1055;&#1088;&#1086;&#1075;&#1085;&#1086;&#1079;\&#1103;%20&#1055;&#1088;&#1080;&#1083;&#1086;&#1078;&#1077;&#1085;&#1080;&#1077;%20&#1054;&#1052;&#1057;&#1059;%202024%2024%2009%202025.xlsx" TargetMode="External"/><Relationship Id="rId1" Type="http://schemas.openxmlformats.org/officeDocument/2006/relationships/themeOverride" Target="../theme/themeOverride13.xml"/></Relationships>
</file>

<file path=word/charts/_rels/chart18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user\&#1057;&#1091;&#1073;&#1073;&#1086;&#1090;&#1080;&#1085;&#1072;\&#1055;&#1088;&#1086;&#1075;&#1085;&#1086;&#1079;\&#1103;%20&#1055;&#1088;&#1080;&#1083;&#1086;&#1078;&#1077;&#1085;&#1080;&#1077;%20&#1054;&#1052;&#1057;&#1059;%202024%2024%2009%202025.xlsx" TargetMode="External"/><Relationship Id="rId1" Type="http://schemas.openxmlformats.org/officeDocument/2006/relationships/themeOverride" Target="../theme/themeOverride14.xml"/></Relationships>
</file>

<file path=word/charts/_rels/chart19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user\&#1057;&#1091;&#1073;&#1073;&#1086;&#1090;&#1080;&#1085;&#1072;\&#1055;&#1088;&#1086;&#1075;&#1085;&#1086;&#1079;\&#1103;%20&#1055;&#1088;&#1080;&#1083;&#1086;&#1078;&#1077;&#1085;&#1080;&#1077;%20&#1054;&#1052;&#1057;&#1059;%202024%2021.10.25.xlsx" TargetMode="External"/><Relationship Id="rId1" Type="http://schemas.openxmlformats.org/officeDocument/2006/relationships/themeOverride" Target="../theme/themeOverride15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&#1057;&#1091;&#1073;&#1073;&#1086;&#1090;&#1080;&#1085;&#1072;\&#1052;&#1086;&#1085;&#1080;&#1090;&#1086;&#1088;&#1080;&#1085;&#1075;%20&#1048;&#1054;&#1043;&#1042;\&#1048;&#1054;&#1043;&#1042;%20&#1089;&#1088;&#1077;&#1076;&#1085;&#1077;&#1089;&#1088;&#1086;&#1095;&#1085;&#1099;&#1081;_2024%2023102025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&#1057;&#1091;&#1073;&#1073;&#1086;&#1090;&#1080;&#1085;&#1072;\&#1052;&#1086;&#1085;&#1080;&#1090;&#1086;&#1088;&#1080;&#1085;&#1075;%20&#1048;&#1054;&#1043;&#1042;\&#1076;&#1086;&#1083;&#1075;&#1086;&#1089;&#1088;&#1086;&#1095;&#1085;&#1099;&#1081;\&#1048;&#1054;&#1043;&#1042;%20&#1076;&#1086;&#1083;&#1075;&#1086;&#1089;&#1088;&#1086;&#1095;&#1085;&#1099;&#1081;_2024%2023%2010%2025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&#1057;&#1091;&#1073;&#1073;&#1086;&#1090;&#1080;&#1085;&#1072;\&#1052;&#1086;&#1085;&#1080;&#1090;&#1086;&#1088;&#1080;&#1085;&#1075;%20&#1048;&#1054;&#1043;&#1042;\&#1076;&#1086;&#1083;&#1075;&#1086;&#1089;&#1088;&#1086;&#1095;&#1085;&#1099;&#1081;\&#1048;&#1054;&#1043;&#1042;%20&#1076;&#1086;&#1083;&#1075;&#1086;&#1089;&#1088;&#1086;&#1095;&#1085;&#1099;&#1081;_2024%2023%2010%2025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C:\Users\user\&#1057;&#1091;&#1073;&#1073;&#1086;&#1090;&#1080;&#1085;&#1072;\&#1055;&#1088;&#1086;&#1075;&#1085;&#1086;&#1079;\&#1103;%20&#1055;&#1088;&#1080;&#1083;&#1086;&#1078;&#1077;&#1085;&#1080;&#1077;%20&#1054;&#1052;&#1057;&#1059;%202024%2026%2009%202025.xlsx" TargetMode="Externa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2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user\&#1057;&#1091;&#1073;&#1073;&#1086;&#1090;&#1080;&#1085;&#1072;\&#1055;&#1088;&#1086;&#1075;&#1085;&#1086;&#1079;\&#1103;%20&#1055;&#1088;&#1080;&#1083;&#1086;&#1078;&#1077;&#1085;&#1080;&#1077;%20&#1054;&#1052;&#1057;&#1059;%202024%2024%2009%202025.xlsx" TargetMode="External"/><Relationship Id="rId1" Type="http://schemas.openxmlformats.org/officeDocument/2006/relationships/themeOverride" Target="../theme/themeOverride3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user\&#1057;&#1091;&#1073;&#1073;&#1086;&#1090;&#1080;&#1085;&#1072;\&#1055;&#1088;&#1086;&#1075;&#1085;&#1086;&#1079;\&#1103;%20&#1055;&#1088;&#1080;&#1083;&#1086;&#1078;&#1077;&#1085;&#1080;&#1077;%20&#1054;&#1052;&#1057;&#1059;%202024%2024%2009%202025.xlsx" TargetMode="External"/><Relationship Id="rId1" Type="http://schemas.openxmlformats.org/officeDocument/2006/relationships/themeOverride" Target="../theme/themeOverride4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user\&#1057;&#1091;&#1073;&#1073;&#1086;&#1090;&#1080;&#1085;&#1072;\&#1055;&#1088;&#1086;&#1075;&#1085;&#1086;&#1079;\&#1103;%20&#1055;&#1088;&#1080;&#1083;&#1086;&#1078;&#1077;&#1085;&#1080;&#1077;%20&#1054;&#1052;&#1057;&#1059;%202024%2024%2009%202025.xlsx" TargetMode="External"/><Relationship Id="rId1" Type="http://schemas.openxmlformats.org/officeDocument/2006/relationships/themeOverride" Target="../theme/themeOverrid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solidFill>
                <a:schemeClr val="accent1"/>
              </a:solidFill>
            </a:ln>
            <a:effectLst/>
          </c:spPr>
          <c:invertIfNegative val="0"/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08C5-4A29-8E89-653817B7F111}"/>
              </c:ext>
            </c:extLst>
          </c:dPt>
          <c:dPt>
            <c:idx val="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3-08C5-4A29-8E89-653817B7F111}"/>
              </c:ext>
            </c:extLst>
          </c:dPt>
          <c:dPt>
            <c:idx val="4"/>
            <c:invertIfNegative val="0"/>
            <c:bubble3D val="0"/>
            <c:spPr>
              <a:pattFill prst="wdDnDiag">
                <a:fgClr>
                  <a:schemeClr val="accent1"/>
                </a:fgClr>
                <a:bgClr>
                  <a:schemeClr val="bg1"/>
                </a:bgClr>
              </a:pattFill>
              <a:ln>
                <a:solidFill>
                  <a:schemeClr val="accen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08C5-4A29-8E89-653817B7F11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'ранг_ведомства_средн. МОЙ'!$B$3:$B$10</c:f>
              <c:strCache>
                <c:ptCount val="8"/>
                <c:pt idx="0">
                  <c:v>Министерство строительства, транспорта и дорожного хозяйства Пензенской области</c:v>
                </c:pt>
                <c:pt idx="1">
                  <c:v>Министерство финансов Пензенской области</c:v>
                </c:pt>
                <c:pt idx="2">
                  <c:v>Министерство экономического развития и промышленности Пензенской области</c:v>
                </c:pt>
                <c:pt idx="3">
                  <c:v>Министерство жилищно-коммунального хозяйства и гражданской защиты населения Пензенской области</c:v>
                </c:pt>
                <c:pt idx="4">
                  <c:v>Среднее значение сводного ведомственного индекса</c:v>
                </c:pt>
                <c:pt idx="5">
                  <c:v>Министерство сельского хозяйства Пензенской области</c:v>
                </c:pt>
                <c:pt idx="6">
                  <c:v>Министерство здравоохранения Пензенской области</c:v>
                </c:pt>
                <c:pt idx="7">
                  <c:v>Министерство труда, социальной защиты и демографии Пензенской области</c:v>
                </c:pt>
              </c:strCache>
            </c:strRef>
          </c:cat>
          <c:val>
            <c:numRef>
              <c:f>'ранг_ведомства_средн. МОЙ'!$C$3:$C$10</c:f>
              <c:numCache>
                <c:formatCode>0.00</c:formatCode>
                <c:ptCount val="8"/>
                <c:pt idx="0">
                  <c:v>6.1352542406270221</c:v>
                </c:pt>
                <c:pt idx="1">
                  <c:v>4.97</c:v>
                </c:pt>
                <c:pt idx="2">
                  <c:v>4.9301354012479299</c:v>
                </c:pt>
                <c:pt idx="3">
                  <c:v>3.3807836930029933</c:v>
                </c:pt>
                <c:pt idx="4">
                  <c:v>3.22</c:v>
                </c:pt>
                <c:pt idx="5">
                  <c:v>1.7302894293238744</c:v>
                </c:pt>
                <c:pt idx="6">
                  <c:v>1.7065785851912949</c:v>
                </c:pt>
                <c:pt idx="7">
                  <c:v>1.4326425620395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8C5-4A29-8E89-653817B7F11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128506496"/>
        <c:axId val="128512384"/>
      </c:barChart>
      <c:catAx>
        <c:axId val="12850649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bg1">
                <a:lumMod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28512384"/>
        <c:crosses val="autoZero"/>
        <c:auto val="0"/>
        <c:lblAlgn val="ctr"/>
        <c:lblOffset val="100"/>
        <c:noMultiLvlLbl val="0"/>
      </c:catAx>
      <c:valAx>
        <c:axId val="128512384"/>
        <c:scaling>
          <c:orientation val="minMax"/>
        </c:scaling>
        <c:delete val="0"/>
        <c:axPos val="b"/>
        <c:numFmt formatCode="0.00" sourceLinked="1"/>
        <c:majorTickMark val="none"/>
        <c:minorTickMark val="none"/>
        <c:tickLblPos val="none"/>
        <c:spPr>
          <a:noFill/>
          <a:ln>
            <a:solidFill>
              <a:schemeClr val="bg1">
                <a:lumMod val="75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85064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 w="12700"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Pt>
            <c:idx val="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D832-478E-92F6-05E08E0D1795}"/>
              </c:ext>
            </c:extLst>
          </c:dPt>
          <c:dPt>
            <c:idx val="4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D832-478E-92F6-05E08E0D1795}"/>
              </c:ext>
            </c:extLst>
          </c:dPt>
          <c:dPt>
            <c:idx val="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3-D832-478E-92F6-05E08E0D1795}"/>
              </c:ext>
            </c:extLst>
          </c:dPt>
          <c:dPt>
            <c:idx val="9"/>
            <c:invertIfNegative val="0"/>
            <c:bubble3D val="0"/>
            <c:spPr>
              <a:solidFill>
                <a:schemeClr val="accent2"/>
              </a:solidFill>
              <a:ln w="12700"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D832-478E-92F6-05E08E0D1795}"/>
              </c:ext>
            </c:extLst>
          </c:dPt>
          <c:dPt>
            <c:idx val="1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7-D832-478E-92F6-05E08E0D1795}"/>
              </c:ext>
            </c:extLst>
          </c:dPt>
          <c:dLbls>
            <c:dLbl>
              <c:idx val="9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accent2">
                          <a:lumMod val="7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5-D832-478E-92F6-05E08E0D179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численность!$B$2:$B$31</c:f>
              <c:strCache>
                <c:ptCount val="30"/>
                <c:pt idx="0">
                  <c:v>Неверкинский </c:v>
                </c:pt>
                <c:pt idx="1">
                  <c:v>Иссинский</c:v>
                </c:pt>
                <c:pt idx="2">
                  <c:v>Бековский</c:v>
                </c:pt>
                <c:pt idx="3">
                  <c:v>Нижнеломовский</c:v>
                </c:pt>
                <c:pt idx="4">
                  <c:v>г. Пенза</c:v>
                </c:pt>
                <c:pt idx="5">
                  <c:v>Пензенский</c:v>
                </c:pt>
                <c:pt idx="6">
                  <c:v>Тамалинский</c:v>
                </c:pt>
                <c:pt idx="7">
                  <c:v>Башмаковский</c:v>
                </c:pt>
                <c:pt idx="8">
                  <c:v>Колышлейский</c:v>
                </c:pt>
                <c:pt idx="9">
                  <c:v>Среднее значение</c:v>
                </c:pt>
                <c:pt idx="10">
                  <c:v>Пачелмский</c:v>
                </c:pt>
                <c:pt idx="11">
                  <c:v>Земетчинский</c:v>
                </c:pt>
                <c:pt idx="12">
                  <c:v>Шемышейский</c:v>
                </c:pt>
                <c:pt idx="13">
                  <c:v>Наровчатский</c:v>
                </c:pt>
                <c:pt idx="14">
                  <c:v>Мокшанский</c:v>
                </c:pt>
                <c:pt idx="15">
                  <c:v>Кузнецкий</c:v>
                </c:pt>
                <c:pt idx="16">
                  <c:v>Вадинский</c:v>
                </c:pt>
                <c:pt idx="17">
                  <c:v>Бессоновский</c:v>
                </c:pt>
                <c:pt idx="18">
                  <c:v>Городищенский</c:v>
                </c:pt>
                <c:pt idx="19">
                  <c:v>Никольский</c:v>
                </c:pt>
                <c:pt idx="20">
                  <c:v>Камешкирский</c:v>
                </c:pt>
                <c:pt idx="21">
                  <c:v>г. Кузнецк</c:v>
                </c:pt>
                <c:pt idx="22">
                  <c:v>Сосновоборский</c:v>
                </c:pt>
                <c:pt idx="23">
                  <c:v>Лунинский</c:v>
                </c:pt>
                <c:pt idx="24">
                  <c:v>Каменский</c:v>
                </c:pt>
                <c:pt idx="25">
                  <c:v>Спасский</c:v>
                </c:pt>
                <c:pt idx="26">
                  <c:v>Белинский</c:v>
                </c:pt>
                <c:pt idx="27">
                  <c:v>Лопатинский</c:v>
                </c:pt>
                <c:pt idx="28">
                  <c:v>Малосердобинский</c:v>
                </c:pt>
                <c:pt idx="29">
                  <c:v>Сердобский</c:v>
                </c:pt>
              </c:strCache>
            </c:strRef>
          </c:cat>
          <c:val>
            <c:numRef>
              <c:f>численность!$C$2:$C$31</c:f>
              <c:numCache>
                <c:formatCode>0.00</c:formatCode>
                <c:ptCount val="30"/>
                <c:pt idx="0">
                  <c:v>1.7424242424242322</c:v>
                </c:pt>
                <c:pt idx="1">
                  <c:v>1.1111111111111094</c:v>
                </c:pt>
                <c:pt idx="2">
                  <c:v>1.0370370370370412</c:v>
                </c:pt>
                <c:pt idx="3">
                  <c:v>0.45070422535210308</c:v>
                </c:pt>
                <c:pt idx="4">
                  <c:v>0.35773026315789663</c:v>
                </c:pt>
                <c:pt idx="5">
                  <c:v>0.34534534534533001</c:v>
                </c:pt>
                <c:pt idx="6">
                  <c:v>0.31999999999999318</c:v>
                </c:pt>
                <c:pt idx="7">
                  <c:v>0.31578947368420379</c:v>
                </c:pt>
                <c:pt idx="8">
                  <c:v>0.29411764705881727</c:v>
                </c:pt>
                <c:pt idx="9">
                  <c:v>0.27917523698723462</c:v>
                </c:pt>
                <c:pt idx="10">
                  <c:v>0.234374999999995</c:v>
                </c:pt>
                <c:pt idx="11">
                  <c:v>0.21621621621621162</c:v>
                </c:pt>
                <c:pt idx="12">
                  <c:v>0.2105263157894692</c:v>
                </c:pt>
                <c:pt idx="13">
                  <c:v>0.20618556701030491</c:v>
                </c:pt>
                <c:pt idx="14">
                  <c:v>0.17094017094016731</c:v>
                </c:pt>
                <c:pt idx="15">
                  <c:v>0.15015015015014163</c:v>
                </c:pt>
                <c:pt idx="16">
                  <c:v>0.14084507042253222</c:v>
                </c:pt>
                <c:pt idx="17">
                  <c:v>0.13422818791945226</c:v>
                </c:pt>
                <c:pt idx="18">
                  <c:v>0.11037527593818358</c:v>
                </c:pt>
                <c:pt idx="19">
                  <c:v>0.10989010989011405</c:v>
                </c:pt>
                <c:pt idx="20">
                  <c:v>0.10204081632652844</c:v>
                </c:pt>
                <c:pt idx="21">
                  <c:v>7.8636959370907311E-2</c:v>
                </c:pt>
                <c:pt idx="22">
                  <c:v>7.4626865671640202E-2</c:v>
                </c:pt>
                <c:pt idx="23">
                  <c:v>6.4516129032256689E-2</c:v>
                </c:pt>
                <c:pt idx="24">
                  <c:v>6.2434963579606949E-2</c:v>
                </c:pt>
                <c:pt idx="25">
                  <c:v>5.5834729201565486E-2</c:v>
                </c:pt>
                <c:pt idx="26">
                  <c:v>0</c:v>
                </c:pt>
                <c:pt idx="27">
                  <c:v>0</c:v>
                </c:pt>
                <c:pt idx="28">
                  <c:v>0</c:v>
                </c:pt>
                <c:pt idx="29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D832-478E-92F6-05E08E0D1795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0"/>
        <c:axId val="193957888"/>
        <c:axId val="193959424"/>
      </c:barChart>
      <c:catAx>
        <c:axId val="19395788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93959424"/>
        <c:crosses val="autoZero"/>
        <c:auto val="1"/>
        <c:lblAlgn val="ctr"/>
        <c:lblOffset val="100"/>
        <c:noMultiLvlLbl val="0"/>
      </c:catAx>
      <c:valAx>
        <c:axId val="193959424"/>
        <c:scaling>
          <c:orientation val="minMax"/>
        </c:scaling>
        <c:delete val="1"/>
        <c:axPos val="b"/>
        <c:numFmt formatCode="0.00" sourceLinked="1"/>
        <c:majorTickMark val="none"/>
        <c:minorTickMark val="none"/>
        <c:tickLblPos val="nextTo"/>
        <c:crossAx val="193957888"/>
        <c:crosses val="autoZero"/>
        <c:crossBetween val="between"/>
      </c:valAx>
      <c:spPr>
        <a:noFill/>
        <a:ln>
          <a:solidFill>
            <a:schemeClr val="bg1"/>
          </a:solidFill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7864460850268901"/>
          <c:y val="2.8671219537361271E-2"/>
          <c:w val="0.7936188882778954"/>
          <c:h val="0.963963963963964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 w="12700"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Pt>
            <c:idx val="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0DA5-4AC3-B417-6DB2E5E16834}"/>
              </c:ext>
            </c:extLst>
          </c:dPt>
          <c:dPt>
            <c:idx val="4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0DA5-4AC3-B417-6DB2E5E16834}"/>
              </c:ext>
            </c:extLst>
          </c:dPt>
          <c:dPt>
            <c:idx val="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2-0DA5-4AC3-B417-6DB2E5E16834}"/>
              </c:ext>
            </c:extLst>
          </c:dPt>
          <c:dPt>
            <c:idx val="9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3-0DA5-4AC3-B417-6DB2E5E16834}"/>
              </c:ext>
            </c:extLst>
          </c:dPt>
          <c:dPt>
            <c:idx val="1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4-0DA5-4AC3-B417-6DB2E5E16834}"/>
              </c:ext>
            </c:extLst>
          </c:dPt>
          <c:dPt>
            <c:idx val="12"/>
            <c:invertIfNegative val="0"/>
            <c:bubble3D val="0"/>
            <c:spPr>
              <a:solidFill>
                <a:schemeClr val="accent2"/>
              </a:solidFill>
              <a:ln w="12700"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6-0DA5-4AC3-B417-6DB2E5E16834}"/>
              </c:ext>
            </c:extLst>
          </c:dPt>
          <c:dLbls>
            <c:dLbl>
              <c:idx val="1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accent2">
                          <a:lumMod val="7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6-0DA5-4AC3-B417-6DB2E5E1683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'численность средн орган'!$B$2:$B$31</c:f>
              <c:strCache>
                <c:ptCount val="30"/>
                <c:pt idx="0">
                  <c:v>Пачелмский</c:v>
                </c:pt>
                <c:pt idx="1">
                  <c:v>Спасский</c:v>
                </c:pt>
                <c:pt idx="2">
                  <c:v>Земетчинский</c:v>
                </c:pt>
                <c:pt idx="3">
                  <c:v>Белинский</c:v>
                </c:pt>
                <c:pt idx="4">
                  <c:v>Сердобский</c:v>
                </c:pt>
                <c:pt idx="5">
                  <c:v>Пензенский</c:v>
                </c:pt>
                <c:pt idx="6">
                  <c:v>Малосердобинский</c:v>
                </c:pt>
                <c:pt idx="7">
                  <c:v>Шемышейский</c:v>
                </c:pt>
                <c:pt idx="8">
                  <c:v>Наровчатский</c:v>
                </c:pt>
                <c:pt idx="9">
                  <c:v>Мокшанский</c:v>
                </c:pt>
                <c:pt idx="10">
                  <c:v>Иссинский</c:v>
                </c:pt>
                <c:pt idx="11">
                  <c:v>Нижнеломовский</c:v>
                </c:pt>
                <c:pt idx="12">
                  <c:v>Среднее значение</c:v>
                </c:pt>
                <c:pt idx="13">
                  <c:v>г. Кузнецк</c:v>
                </c:pt>
                <c:pt idx="14">
                  <c:v>г. Пенза</c:v>
                </c:pt>
                <c:pt idx="15">
                  <c:v>Бессоновский</c:v>
                </c:pt>
                <c:pt idx="16">
                  <c:v>Тамалинский</c:v>
                </c:pt>
                <c:pt idx="17">
                  <c:v>Неверкинский </c:v>
                </c:pt>
                <c:pt idx="18">
                  <c:v>Городищенский</c:v>
                </c:pt>
                <c:pt idx="19">
                  <c:v>Лопатинский</c:v>
                </c:pt>
                <c:pt idx="20">
                  <c:v>Вадинский</c:v>
                </c:pt>
                <c:pt idx="21">
                  <c:v>Лунинский</c:v>
                </c:pt>
                <c:pt idx="22">
                  <c:v>Кузнецкий</c:v>
                </c:pt>
                <c:pt idx="23">
                  <c:v>Камешкирский</c:v>
                </c:pt>
                <c:pt idx="24">
                  <c:v>Колышлейский</c:v>
                </c:pt>
                <c:pt idx="25">
                  <c:v>Бековский</c:v>
                </c:pt>
                <c:pt idx="26">
                  <c:v>Сосновоборский</c:v>
                </c:pt>
                <c:pt idx="27">
                  <c:v>Башмаковский</c:v>
                </c:pt>
                <c:pt idx="28">
                  <c:v>Никольский</c:v>
                </c:pt>
                <c:pt idx="29">
                  <c:v>Каменский</c:v>
                </c:pt>
              </c:strCache>
            </c:strRef>
          </c:cat>
          <c:val>
            <c:numRef>
              <c:f>'численность средн орган'!$C$2:$C$31</c:f>
              <c:numCache>
                <c:formatCode>0.00</c:formatCode>
                <c:ptCount val="30"/>
                <c:pt idx="0">
                  <c:v>4.7872340425531963</c:v>
                </c:pt>
                <c:pt idx="1">
                  <c:v>2.9702970297029729</c:v>
                </c:pt>
                <c:pt idx="2">
                  <c:v>2.4999999999999871</c:v>
                </c:pt>
                <c:pt idx="3">
                  <c:v>2.3899371069182407</c:v>
                </c:pt>
                <c:pt idx="4">
                  <c:v>1.7118402282453653</c:v>
                </c:pt>
                <c:pt idx="5">
                  <c:v>1.6775884665792939</c:v>
                </c:pt>
                <c:pt idx="6">
                  <c:v>1.5094339622641522</c:v>
                </c:pt>
                <c:pt idx="7">
                  <c:v>1.4299332697807343</c:v>
                </c:pt>
                <c:pt idx="8">
                  <c:v>1.3483146067415743</c:v>
                </c:pt>
                <c:pt idx="9">
                  <c:v>1.31868131868132</c:v>
                </c:pt>
                <c:pt idx="10">
                  <c:v>1.2114537444933933</c:v>
                </c:pt>
                <c:pt idx="11">
                  <c:v>1.0899396220497086</c:v>
                </c:pt>
                <c:pt idx="12">
                  <c:v>1.0677271091001859</c:v>
                </c:pt>
                <c:pt idx="13">
                  <c:v>0.81967213114753812</c:v>
                </c:pt>
                <c:pt idx="14">
                  <c:v>0.79346092503986465</c:v>
                </c:pt>
                <c:pt idx="15">
                  <c:v>0.73959938366718092</c:v>
                </c:pt>
                <c:pt idx="16">
                  <c:v>0.6923076923076843</c:v>
                </c:pt>
                <c:pt idx="17">
                  <c:v>0.68181818181818243</c:v>
                </c:pt>
                <c:pt idx="18">
                  <c:v>0.57692307692307032</c:v>
                </c:pt>
                <c:pt idx="19">
                  <c:v>0.56179775280898925</c:v>
                </c:pt>
                <c:pt idx="20">
                  <c:v>0.52631578947368474</c:v>
                </c:pt>
                <c:pt idx="21">
                  <c:v>0.41958041958042003</c:v>
                </c:pt>
                <c:pt idx="22">
                  <c:v>0.24539877300613519</c:v>
                </c:pt>
                <c:pt idx="23">
                  <c:v>0.24390243902439046</c:v>
                </c:pt>
                <c:pt idx="24">
                  <c:v>0.21459227467810699</c:v>
                </c:pt>
                <c:pt idx="25">
                  <c:v>0.19999999999999576</c:v>
                </c:pt>
                <c:pt idx="26">
                  <c:v>0.11627906976744197</c:v>
                </c:pt>
                <c:pt idx="27">
                  <c:v>7.6190476190467801E-2</c:v>
                </c:pt>
                <c:pt idx="28">
                  <c:v>6.2893081760999364E-2</c:v>
                </c:pt>
                <c:pt idx="29">
                  <c:v>4.8701298701300542E-2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0DA5-4AC3-B417-6DB2E5E16834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0"/>
        <c:axId val="194053248"/>
        <c:axId val="194054784"/>
      </c:barChart>
      <c:catAx>
        <c:axId val="19405324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94054784"/>
        <c:crosses val="autoZero"/>
        <c:auto val="1"/>
        <c:lblAlgn val="ctr"/>
        <c:lblOffset val="100"/>
        <c:noMultiLvlLbl val="0"/>
      </c:catAx>
      <c:valAx>
        <c:axId val="194054784"/>
        <c:scaling>
          <c:orientation val="minMax"/>
        </c:scaling>
        <c:delete val="1"/>
        <c:axPos val="b"/>
        <c:numFmt formatCode="0.00" sourceLinked="1"/>
        <c:majorTickMark val="none"/>
        <c:minorTickMark val="none"/>
        <c:tickLblPos val="nextTo"/>
        <c:crossAx val="194053248"/>
        <c:crosses val="autoZero"/>
        <c:crossBetween val="between"/>
      </c:valAx>
      <c:spPr>
        <a:noFill/>
        <a:ln>
          <a:solidFill>
            <a:schemeClr val="bg1"/>
          </a:solidFill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9546447456531277"/>
          <c:y val="2.2398700394374256E-2"/>
          <c:w val="0.7968885707468385"/>
          <c:h val="0.9552025992112515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 w="12700"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Pt>
            <c:idx val="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5122-412D-B87F-8E6E7BFDCCF5}"/>
              </c:ext>
            </c:extLst>
          </c:dPt>
          <c:dPt>
            <c:idx val="4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5122-412D-B87F-8E6E7BFDCCF5}"/>
              </c:ext>
            </c:extLst>
          </c:dPt>
          <c:dPt>
            <c:idx val="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3-5122-412D-B87F-8E6E7BFDCCF5}"/>
              </c:ext>
            </c:extLst>
          </c:dPt>
          <c:dPt>
            <c:idx val="8"/>
            <c:invertIfNegative val="0"/>
            <c:bubble3D val="0"/>
            <c:spPr>
              <a:solidFill>
                <a:schemeClr val="accent2"/>
              </a:solidFill>
              <a:ln w="12700"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5122-412D-B87F-8E6E7BFDCCF5}"/>
              </c:ext>
            </c:extLst>
          </c:dPt>
          <c:dPt>
            <c:idx val="9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7-5122-412D-B87F-8E6E7BFDCCF5}"/>
              </c:ext>
            </c:extLst>
          </c:dPt>
          <c:dPt>
            <c:idx val="1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9-5122-412D-B87F-8E6E7BFDCCF5}"/>
              </c:ext>
            </c:extLst>
          </c:dPt>
          <c:dPt>
            <c:idx val="1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B-5122-412D-B87F-8E6E7BFDCCF5}"/>
              </c:ext>
            </c:extLst>
          </c:dPt>
          <c:dLbls>
            <c:dLbl>
              <c:idx val="8"/>
              <c:tx>
                <c:rich>
                  <a:bodyPr/>
                  <a:lstStyle/>
                  <a:p>
                    <a:fld id="{CC0E0929-14FE-4C36-945E-EBE6A8123869}" type="VALUE">
                      <a:rPr lang="en-US">
                        <a:solidFill>
                          <a:schemeClr val="accent2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5122-412D-B87F-8E6E7BFDCCF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'номин зп'!$B$2:$B$31</c:f>
              <c:strCache>
                <c:ptCount val="30"/>
                <c:pt idx="0">
                  <c:v>Лунинский</c:v>
                </c:pt>
                <c:pt idx="1">
                  <c:v>Вадинский</c:v>
                </c:pt>
                <c:pt idx="2">
                  <c:v>Нижнеломовский</c:v>
                </c:pt>
                <c:pt idx="3">
                  <c:v>Кузнецкий</c:v>
                </c:pt>
                <c:pt idx="4">
                  <c:v>Спасский</c:v>
                </c:pt>
                <c:pt idx="5">
                  <c:v>Пачелмский</c:v>
                </c:pt>
                <c:pt idx="6">
                  <c:v>Наровчатский</c:v>
                </c:pt>
                <c:pt idx="7">
                  <c:v>Тамалинский</c:v>
                </c:pt>
                <c:pt idx="8">
                  <c:v>Среднее значение</c:v>
                </c:pt>
                <c:pt idx="9">
                  <c:v>Каменский</c:v>
                </c:pt>
                <c:pt idx="10">
                  <c:v>Бековский</c:v>
                </c:pt>
                <c:pt idx="11">
                  <c:v>Никольский</c:v>
                </c:pt>
                <c:pt idx="12">
                  <c:v>Шемышейский</c:v>
                </c:pt>
                <c:pt idx="13">
                  <c:v>Сосновоборский</c:v>
                </c:pt>
                <c:pt idx="14">
                  <c:v>Бессоновский</c:v>
                </c:pt>
                <c:pt idx="15">
                  <c:v>Башмаковский</c:v>
                </c:pt>
                <c:pt idx="16">
                  <c:v>Камешкирский</c:v>
                </c:pt>
                <c:pt idx="17">
                  <c:v>Земетчинский</c:v>
                </c:pt>
                <c:pt idx="18">
                  <c:v>Лопатинский</c:v>
                </c:pt>
                <c:pt idx="19">
                  <c:v>Неверкинский </c:v>
                </c:pt>
                <c:pt idx="20">
                  <c:v>Мокшанский</c:v>
                </c:pt>
                <c:pt idx="21">
                  <c:v>Сердобский</c:v>
                </c:pt>
                <c:pt idx="22">
                  <c:v>г. Кузнецк</c:v>
                </c:pt>
                <c:pt idx="23">
                  <c:v>Белинский</c:v>
                </c:pt>
                <c:pt idx="24">
                  <c:v>Иссинский</c:v>
                </c:pt>
                <c:pt idx="25">
                  <c:v>Малосердобинский</c:v>
                </c:pt>
                <c:pt idx="26">
                  <c:v>Пензенский</c:v>
                </c:pt>
                <c:pt idx="27">
                  <c:v>Колышлейский</c:v>
                </c:pt>
                <c:pt idx="28">
                  <c:v>Городищенский</c:v>
                </c:pt>
                <c:pt idx="29">
                  <c:v>г. Пенза</c:v>
                </c:pt>
              </c:strCache>
            </c:strRef>
          </c:cat>
          <c:val>
            <c:numRef>
              <c:f>'номин зп'!$C$2:$C$31</c:f>
              <c:numCache>
                <c:formatCode>0.00</c:formatCode>
                <c:ptCount val="30"/>
                <c:pt idx="0">
                  <c:v>12.67496093423831</c:v>
                </c:pt>
                <c:pt idx="1">
                  <c:v>10.065809882561483</c:v>
                </c:pt>
                <c:pt idx="2">
                  <c:v>8.4351511894183222</c:v>
                </c:pt>
                <c:pt idx="3">
                  <c:v>7.7989989989989965</c:v>
                </c:pt>
                <c:pt idx="4">
                  <c:v>7.4563327814569567</c:v>
                </c:pt>
                <c:pt idx="5">
                  <c:v>6.1971302428256134</c:v>
                </c:pt>
                <c:pt idx="6">
                  <c:v>4.6031446540880445</c:v>
                </c:pt>
                <c:pt idx="7">
                  <c:v>4.4643230801422895</c:v>
                </c:pt>
                <c:pt idx="8">
                  <c:v>3.6964259066472485</c:v>
                </c:pt>
                <c:pt idx="9">
                  <c:v>3.5027788069655479</c:v>
                </c:pt>
                <c:pt idx="10">
                  <c:v>3.4086569064290257</c:v>
                </c:pt>
                <c:pt idx="11">
                  <c:v>3.4007448789571639</c:v>
                </c:pt>
                <c:pt idx="12">
                  <c:v>3.2312073488851887</c:v>
                </c:pt>
                <c:pt idx="13">
                  <c:v>3.0725785167590316</c:v>
                </c:pt>
                <c:pt idx="14">
                  <c:v>3.0649499753977318</c:v>
                </c:pt>
                <c:pt idx="15">
                  <c:v>2.9647058823529413</c:v>
                </c:pt>
                <c:pt idx="16">
                  <c:v>2.8413991375179686</c:v>
                </c:pt>
                <c:pt idx="17">
                  <c:v>2.5273368606701885</c:v>
                </c:pt>
                <c:pt idx="18">
                  <c:v>2.4749473684210495</c:v>
                </c:pt>
                <c:pt idx="19">
                  <c:v>2.4291044776119404</c:v>
                </c:pt>
                <c:pt idx="20">
                  <c:v>2.3047504025764893</c:v>
                </c:pt>
                <c:pt idx="21">
                  <c:v>2.2705428019738316</c:v>
                </c:pt>
                <c:pt idx="22">
                  <c:v>1.9700389105058336</c:v>
                </c:pt>
                <c:pt idx="23">
                  <c:v>1.7182008368200898</c:v>
                </c:pt>
                <c:pt idx="24">
                  <c:v>1.5199622114515703</c:v>
                </c:pt>
                <c:pt idx="25">
                  <c:v>1.4711904761904795</c:v>
                </c:pt>
                <c:pt idx="26">
                  <c:v>0.60836177474402731</c:v>
                </c:pt>
                <c:pt idx="27">
                  <c:v>0.34012219959266804</c:v>
                </c:pt>
                <c:pt idx="28">
                  <c:v>0.32597137014315225</c:v>
                </c:pt>
                <c:pt idx="29">
                  <c:v>5.2948385074259599E-2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5122-412D-B87F-8E6E7BFDCCF5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194097920"/>
        <c:axId val="194106880"/>
      </c:barChart>
      <c:catAx>
        <c:axId val="19409792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94106880"/>
        <c:crosses val="autoZero"/>
        <c:auto val="1"/>
        <c:lblAlgn val="ctr"/>
        <c:lblOffset val="100"/>
        <c:noMultiLvlLbl val="0"/>
      </c:catAx>
      <c:valAx>
        <c:axId val="194106880"/>
        <c:scaling>
          <c:orientation val="minMax"/>
        </c:scaling>
        <c:delete val="1"/>
        <c:axPos val="b"/>
        <c:numFmt formatCode="0.00" sourceLinked="1"/>
        <c:majorTickMark val="none"/>
        <c:minorTickMark val="none"/>
        <c:tickLblPos val="nextTo"/>
        <c:crossAx val="194097920"/>
        <c:crosses val="autoZero"/>
        <c:crossBetween val="between"/>
      </c:valAx>
      <c:spPr>
        <a:noFill/>
        <a:ln>
          <a:solidFill>
            <a:schemeClr val="bg1"/>
          </a:solidFill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9448366504837031"/>
          <c:y val="2.4749153975919893E-2"/>
          <c:w val="0.7958533346810821"/>
          <c:h val="0.9552025992112515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 w="12700"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Pt>
            <c:idx val="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6B04-46CA-B1CD-AF9F672BB941}"/>
              </c:ext>
            </c:extLst>
          </c:dPt>
          <c:dPt>
            <c:idx val="4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6B04-46CA-B1CD-AF9F672BB941}"/>
              </c:ext>
            </c:extLst>
          </c:dPt>
          <c:dPt>
            <c:idx val="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3-6B04-46CA-B1CD-AF9F672BB941}"/>
              </c:ext>
            </c:extLst>
          </c:dPt>
          <c:dPt>
            <c:idx val="9"/>
            <c:invertIfNegative val="0"/>
            <c:bubble3D val="0"/>
            <c:spPr>
              <a:solidFill>
                <a:schemeClr val="accent2"/>
              </a:solidFill>
              <a:ln w="12700"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6B04-46CA-B1CD-AF9F672BB941}"/>
              </c:ext>
            </c:extLst>
          </c:dPt>
          <c:dPt>
            <c:idx val="1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7-6B04-46CA-B1CD-AF9F672BB941}"/>
              </c:ext>
            </c:extLst>
          </c:dPt>
          <c:dPt>
            <c:idx val="1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9-6B04-46CA-B1CD-AF9F672BB941}"/>
              </c:ext>
            </c:extLst>
          </c:dPt>
          <c:dLbls>
            <c:dLbl>
              <c:idx val="9"/>
              <c:tx>
                <c:rich>
                  <a:bodyPr/>
                  <a:lstStyle/>
                  <a:p>
                    <a:fld id="{D5C9B842-2398-4B13-8772-25FE6C5B68BE}" type="VALUE">
                      <a:rPr lang="en-US">
                        <a:solidFill>
                          <a:schemeClr val="accent2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6B04-46CA-B1CD-AF9F672BB94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'фонд начисл зп'!$B$2:$B$31</c:f>
              <c:strCache>
                <c:ptCount val="30"/>
                <c:pt idx="0">
                  <c:v>Лунинский</c:v>
                </c:pt>
                <c:pt idx="1">
                  <c:v>Пачелмский</c:v>
                </c:pt>
                <c:pt idx="2">
                  <c:v>Спасский</c:v>
                </c:pt>
                <c:pt idx="3">
                  <c:v>Вадинский</c:v>
                </c:pt>
                <c:pt idx="4">
                  <c:v>Кузнецкий</c:v>
                </c:pt>
                <c:pt idx="5">
                  <c:v>Нижнеломовский</c:v>
                </c:pt>
                <c:pt idx="6">
                  <c:v>Наровчатский</c:v>
                </c:pt>
                <c:pt idx="7">
                  <c:v>Тамалинский</c:v>
                </c:pt>
                <c:pt idx="8">
                  <c:v>Земетчинский</c:v>
                </c:pt>
                <c:pt idx="9">
                  <c:v>Среднее значение</c:v>
                </c:pt>
                <c:pt idx="10">
                  <c:v>Белинский</c:v>
                </c:pt>
                <c:pt idx="11">
                  <c:v>Мокшанский</c:v>
                </c:pt>
                <c:pt idx="12">
                  <c:v>Бековский</c:v>
                </c:pt>
                <c:pt idx="13">
                  <c:v>Каменский</c:v>
                </c:pt>
                <c:pt idx="14">
                  <c:v>Никольский</c:v>
                </c:pt>
                <c:pt idx="15">
                  <c:v>Сосновоборский</c:v>
                </c:pt>
                <c:pt idx="16">
                  <c:v>Лопатинский</c:v>
                </c:pt>
                <c:pt idx="17">
                  <c:v>Башмаковский</c:v>
                </c:pt>
                <c:pt idx="18">
                  <c:v>Малосердобинский</c:v>
                </c:pt>
                <c:pt idx="19">
                  <c:v>Камешкирский</c:v>
                </c:pt>
                <c:pt idx="20">
                  <c:v>Бессоновский</c:v>
                </c:pt>
                <c:pt idx="21">
                  <c:v>Шемышейский</c:v>
                </c:pt>
                <c:pt idx="22">
                  <c:v>Неверкинский </c:v>
                </c:pt>
                <c:pt idx="23">
                  <c:v>г. Кузнецк</c:v>
                </c:pt>
                <c:pt idx="24">
                  <c:v>Пензенский</c:v>
                </c:pt>
                <c:pt idx="25">
                  <c:v>г. Пенза</c:v>
                </c:pt>
                <c:pt idx="26">
                  <c:v>Колышлейский</c:v>
                </c:pt>
                <c:pt idx="27">
                  <c:v>Сердобский</c:v>
                </c:pt>
                <c:pt idx="28">
                  <c:v>Иссинский</c:v>
                </c:pt>
                <c:pt idx="29">
                  <c:v>Городищенский</c:v>
                </c:pt>
              </c:strCache>
            </c:strRef>
          </c:cat>
          <c:val>
            <c:numRef>
              <c:f>'фонд начисл зп'!$C$2:$C$31</c:f>
              <c:numCache>
                <c:formatCode>0.00</c:formatCode>
                <c:ptCount val="30"/>
                <c:pt idx="0">
                  <c:v>13.145700097316857</c:v>
                </c:pt>
                <c:pt idx="1">
                  <c:v>11.281035414024711</c:v>
                </c:pt>
                <c:pt idx="2">
                  <c:v>10.6481050422923</c:v>
                </c:pt>
                <c:pt idx="3">
                  <c:v>9.4826857142857026</c:v>
                </c:pt>
                <c:pt idx="4">
                  <c:v>8.0635364198554171</c:v>
                </c:pt>
                <c:pt idx="5">
                  <c:v>7.2533394322650366</c:v>
                </c:pt>
                <c:pt idx="6">
                  <c:v>6.0135241325701312</c:v>
                </c:pt>
                <c:pt idx="7">
                  <c:v>5.1875376245432783</c:v>
                </c:pt>
                <c:pt idx="8">
                  <c:v>5.0905202821869464</c:v>
                </c:pt>
                <c:pt idx="9">
                  <c:v>4.1260177093097434</c:v>
                </c:pt>
                <c:pt idx="10">
                  <c:v>4.0670740243677912</c:v>
                </c:pt>
                <c:pt idx="11">
                  <c:v>3.6538240342588151</c:v>
                </c:pt>
                <c:pt idx="12">
                  <c:v>3.6154742202418757</c:v>
                </c:pt>
                <c:pt idx="13">
                  <c:v>3.5531860044364767</c:v>
                </c:pt>
                <c:pt idx="14">
                  <c:v>3.3399906304533546</c:v>
                </c:pt>
                <c:pt idx="15">
                  <c:v>3.1924303522436288</c:v>
                </c:pt>
                <c:pt idx="16">
                  <c:v>3.0506493199290303</c:v>
                </c:pt>
                <c:pt idx="17">
                  <c:v>3.0431551820728231</c:v>
                </c:pt>
                <c:pt idx="18">
                  <c:v>3.0028310871518342</c:v>
                </c:pt>
                <c:pt idx="19">
                  <c:v>2.5905664566947544</c:v>
                </c:pt>
                <c:pt idx="20">
                  <c:v>2.3036216077332723</c:v>
                </c:pt>
                <c:pt idx="21">
                  <c:v>1.7550699702071375</c:v>
                </c:pt>
                <c:pt idx="22">
                  <c:v>1.7307242198100377</c:v>
                </c:pt>
                <c:pt idx="23">
                  <c:v>1.1509353192575038</c:v>
                </c:pt>
                <c:pt idx="24">
                  <c:v>1.0794324988034574</c:v>
                </c:pt>
                <c:pt idx="25">
                  <c:v>0.74657944547560462</c:v>
                </c:pt>
                <c:pt idx="26">
                  <c:v>0.55398459830598434</c:v>
                </c:pt>
                <c:pt idx="27">
                  <c:v>0.51983450864474423</c:v>
                </c:pt>
                <c:pt idx="28">
                  <c:v>0.29009482783265861</c:v>
                </c:pt>
                <c:pt idx="29">
                  <c:v>0.2490711027213969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6B04-46CA-B1CD-AF9F672BB941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194158592"/>
        <c:axId val="202027392"/>
      </c:barChart>
      <c:catAx>
        <c:axId val="19415859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02027392"/>
        <c:crosses val="autoZero"/>
        <c:auto val="1"/>
        <c:lblAlgn val="ctr"/>
        <c:lblOffset val="100"/>
        <c:noMultiLvlLbl val="0"/>
      </c:catAx>
      <c:valAx>
        <c:axId val="202027392"/>
        <c:scaling>
          <c:orientation val="minMax"/>
        </c:scaling>
        <c:delete val="1"/>
        <c:axPos val="b"/>
        <c:numFmt formatCode="0.00" sourceLinked="1"/>
        <c:majorTickMark val="none"/>
        <c:minorTickMark val="none"/>
        <c:tickLblPos val="nextTo"/>
        <c:crossAx val="194158592"/>
        <c:crosses val="autoZero"/>
        <c:crossBetween val="between"/>
      </c:valAx>
      <c:spPr>
        <a:noFill/>
        <a:ln>
          <a:solidFill>
            <a:schemeClr val="bg1"/>
          </a:solidFill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3637647077176274"/>
          <c:y val="2.2398721898893074E-2"/>
          <c:w val="0.75736717964776534"/>
          <c:h val="0.9552025992112515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 w="12700"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Pt>
            <c:idx val="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0EE6-43DD-8163-ECA95EC002BA}"/>
              </c:ext>
            </c:extLst>
          </c:dPt>
          <c:dPt>
            <c:idx val="4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0EE6-43DD-8163-ECA95EC002BA}"/>
              </c:ext>
            </c:extLst>
          </c:dPt>
          <c:dPt>
            <c:idx val="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2-0EE6-43DD-8163-ECA95EC002BA}"/>
              </c:ext>
            </c:extLst>
          </c:dPt>
          <c:dPt>
            <c:idx val="9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3-0EE6-43DD-8163-ECA95EC002BA}"/>
              </c:ext>
            </c:extLst>
          </c:dPt>
          <c:dPt>
            <c:idx val="1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4-0EE6-43DD-8163-ECA95EC002BA}"/>
              </c:ext>
            </c:extLst>
          </c:dPt>
          <c:dPt>
            <c:idx val="1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5-0EE6-43DD-8163-ECA95EC002BA}"/>
              </c:ext>
            </c:extLst>
          </c:dPt>
          <c:dPt>
            <c:idx val="13"/>
            <c:invertIfNegative val="0"/>
            <c:bubble3D val="0"/>
            <c:spPr>
              <a:solidFill>
                <a:schemeClr val="accent2"/>
              </a:solidFill>
              <a:ln w="12700"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0EE6-43DD-8163-ECA95EC002BA}"/>
              </c:ext>
            </c:extLst>
          </c:dPt>
          <c:dLbls>
            <c:dLbl>
              <c:idx val="13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accent2">
                          <a:lumMod val="7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7-0EE6-43DD-8163-ECA95EC002B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беззраб!$B$2:$B$31</c:f>
              <c:strCache>
                <c:ptCount val="30"/>
                <c:pt idx="0">
                  <c:v>Пензенский</c:v>
                </c:pt>
                <c:pt idx="1">
                  <c:v>Каменский</c:v>
                </c:pt>
                <c:pt idx="2">
                  <c:v>Сердобский</c:v>
                </c:pt>
                <c:pt idx="3">
                  <c:v>Малосердобинский</c:v>
                </c:pt>
                <c:pt idx="4">
                  <c:v>Земетчинский</c:v>
                </c:pt>
                <c:pt idx="5">
                  <c:v>Мокшанский</c:v>
                </c:pt>
                <c:pt idx="6">
                  <c:v>Колышлейский</c:v>
                </c:pt>
                <c:pt idx="7">
                  <c:v>Бессоновский</c:v>
                </c:pt>
                <c:pt idx="8">
                  <c:v>Нижнеломовский</c:v>
                </c:pt>
                <c:pt idx="9">
                  <c:v>Белинский</c:v>
                </c:pt>
                <c:pt idx="10">
                  <c:v>Пачелмский</c:v>
                </c:pt>
                <c:pt idx="11">
                  <c:v>Наровчатский</c:v>
                </c:pt>
                <c:pt idx="12">
                  <c:v>Неверкинский </c:v>
                </c:pt>
                <c:pt idx="13">
                  <c:v>Среднее значение</c:v>
                </c:pt>
                <c:pt idx="14">
                  <c:v>Иссинский</c:v>
                </c:pt>
                <c:pt idx="15">
                  <c:v>Спасский</c:v>
                </c:pt>
                <c:pt idx="16">
                  <c:v>г. Кузнецк</c:v>
                </c:pt>
                <c:pt idx="17">
                  <c:v>Никольский</c:v>
                </c:pt>
                <c:pt idx="18">
                  <c:v>Кузнецкий</c:v>
                </c:pt>
                <c:pt idx="19">
                  <c:v>Бековский</c:v>
                </c:pt>
                <c:pt idx="20">
                  <c:v>Лунинский</c:v>
                </c:pt>
                <c:pt idx="21">
                  <c:v>г. Пенза</c:v>
                </c:pt>
                <c:pt idx="22">
                  <c:v>Сосновоборский</c:v>
                </c:pt>
                <c:pt idx="23">
                  <c:v>Башмаковский</c:v>
                </c:pt>
                <c:pt idx="24">
                  <c:v>Вадинский</c:v>
                </c:pt>
                <c:pt idx="25">
                  <c:v>Камешкирский</c:v>
                </c:pt>
                <c:pt idx="26">
                  <c:v>Городищенский</c:v>
                </c:pt>
                <c:pt idx="27">
                  <c:v>Шемышейский</c:v>
                </c:pt>
                <c:pt idx="28">
                  <c:v>Лопатинский</c:v>
                </c:pt>
                <c:pt idx="29">
                  <c:v>Тамалинский</c:v>
                </c:pt>
              </c:strCache>
            </c:strRef>
          </c:cat>
          <c:val>
            <c:numRef>
              <c:f>беззраб!$C$2:$C$31</c:f>
              <c:numCache>
                <c:formatCode>0.00</c:formatCode>
                <c:ptCount val="30"/>
                <c:pt idx="0">
                  <c:v>88.32</c:v>
                </c:pt>
                <c:pt idx="1">
                  <c:v>75</c:v>
                </c:pt>
                <c:pt idx="2">
                  <c:v>71.764705882352942</c:v>
                </c:pt>
                <c:pt idx="3">
                  <c:v>68.571428571428569</c:v>
                </c:pt>
                <c:pt idx="4">
                  <c:v>62.222222222222221</c:v>
                </c:pt>
                <c:pt idx="5">
                  <c:v>61.904761904761905</c:v>
                </c:pt>
                <c:pt idx="6">
                  <c:v>58.904109589041099</c:v>
                </c:pt>
                <c:pt idx="7">
                  <c:v>52.5</c:v>
                </c:pt>
                <c:pt idx="8">
                  <c:v>51.666666666666657</c:v>
                </c:pt>
                <c:pt idx="9">
                  <c:v>47.5</c:v>
                </c:pt>
                <c:pt idx="10">
                  <c:v>46.153846153846153</c:v>
                </c:pt>
                <c:pt idx="11">
                  <c:v>45.714285714285715</c:v>
                </c:pt>
                <c:pt idx="12">
                  <c:v>37.5</c:v>
                </c:pt>
                <c:pt idx="13">
                  <c:v>37.21</c:v>
                </c:pt>
                <c:pt idx="14">
                  <c:v>36.36363636363636</c:v>
                </c:pt>
                <c:pt idx="15">
                  <c:v>33.333333333333329</c:v>
                </c:pt>
                <c:pt idx="16">
                  <c:v>30</c:v>
                </c:pt>
                <c:pt idx="17">
                  <c:v>28.571428571428569</c:v>
                </c:pt>
                <c:pt idx="18">
                  <c:v>27.499999999999996</c:v>
                </c:pt>
                <c:pt idx="19">
                  <c:v>24.137931034482769</c:v>
                </c:pt>
                <c:pt idx="20">
                  <c:v>22.500000000000004</c:v>
                </c:pt>
                <c:pt idx="21">
                  <c:v>22.14</c:v>
                </c:pt>
                <c:pt idx="22">
                  <c:v>22.000000000000007</c:v>
                </c:pt>
                <c:pt idx="23">
                  <c:v>14.545454545454545</c:v>
                </c:pt>
                <c:pt idx="24">
                  <c:v>13.333333333333334</c:v>
                </c:pt>
                <c:pt idx="25">
                  <c:v>13.043478260869563</c:v>
                </c:pt>
                <c:pt idx="26">
                  <c:v>12.222222222222218</c:v>
                </c:pt>
                <c:pt idx="27">
                  <c:v>11.627906976744198</c:v>
                </c:pt>
                <c:pt idx="28">
                  <c:v>0</c:v>
                </c:pt>
                <c:pt idx="29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0EE6-43DD-8163-ECA95EC002BA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0"/>
        <c:axId val="202310016"/>
        <c:axId val="202311552"/>
      </c:barChart>
      <c:catAx>
        <c:axId val="20231001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02311552"/>
        <c:crosses val="autoZero"/>
        <c:auto val="1"/>
        <c:lblAlgn val="ctr"/>
        <c:lblOffset val="100"/>
        <c:noMultiLvlLbl val="0"/>
      </c:catAx>
      <c:valAx>
        <c:axId val="202311552"/>
        <c:scaling>
          <c:orientation val="minMax"/>
        </c:scaling>
        <c:delete val="1"/>
        <c:axPos val="b"/>
        <c:numFmt formatCode="0.00" sourceLinked="1"/>
        <c:majorTickMark val="none"/>
        <c:minorTickMark val="none"/>
        <c:tickLblPos val="nextTo"/>
        <c:crossAx val="202310016"/>
        <c:crosses val="autoZero"/>
        <c:crossBetween val="between"/>
      </c:valAx>
      <c:spPr>
        <a:noFill/>
        <a:ln>
          <a:solidFill>
            <a:schemeClr val="bg1"/>
          </a:solidFill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3049798357917625"/>
          <c:y val="9.9178609868011101E-3"/>
          <c:w val="0.76533915376822304"/>
          <c:h val="0.96095802413187559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 w="12700"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Pt>
            <c:idx val="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C7E5-4830-9EE6-93C5E0B497D3}"/>
              </c:ext>
            </c:extLst>
          </c:dPt>
          <c:dPt>
            <c:idx val="4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C7E5-4830-9EE6-93C5E0B497D3}"/>
              </c:ext>
            </c:extLst>
          </c:dPt>
          <c:dPt>
            <c:idx val="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3-C7E5-4830-9EE6-93C5E0B497D3}"/>
              </c:ext>
            </c:extLst>
          </c:dPt>
          <c:dPt>
            <c:idx val="9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5-C7E5-4830-9EE6-93C5E0B497D3}"/>
              </c:ext>
            </c:extLst>
          </c:dPt>
          <c:dPt>
            <c:idx val="1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7-C7E5-4830-9EE6-93C5E0B497D3}"/>
              </c:ext>
            </c:extLst>
          </c:dPt>
          <c:dPt>
            <c:idx val="12"/>
            <c:invertIfNegative val="0"/>
            <c:bubble3D val="0"/>
            <c:spPr>
              <a:solidFill>
                <a:schemeClr val="accent2"/>
              </a:solidFill>
              <a:ln w="12700"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C7E5-4830-9EE6-93C5E0B497D3}"/>
              </c:ext>
            </c:extLst>
          </c:dPt>
          <c:dPt>
            <c:idx val="1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B-C7E5-4830-9EE6-93C5E0B497D3}"/>
              </c:ext>
            </c:extLst>
          </c:dPt>
          <c:dLbls>
            <c:dLbl>
              <c:idx val="1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accent2">
                          <a:lumMod val="75000"/>
                        </a:schemeClr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9-C7E5-4830-9EE6-93C5E0B497D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'беззраб (2)'!$B$2:$B$31</c:f>
              <c:strCache>
                <c:ptCount val="30"/>
                <c:pt idx="0">
                  <c:v>Каменский</c:v>
                </c:pt>
                <c:pt idx="1">
                  <c:v>Пензенский</c:v>
                </c:pt>
                <c:pt idx="2">
                  <c:v>г. Кузнецк</c:v>
                </c:pt>
                <c:pt idx="3">
                  <c:v>Никольский</c:v>
                </c:pt>
                <c:pt idx="4">
                  <c:v>Иссинский</c:v>
                </c:pt>
                <c:pt idx="5">
                  <c:v>Белинский</c:v>
                </c:pt>
                <c:pt idx="6">
                  <c:v>Пачелмский</c:v>
                </c:pt>
                <c:pt idx="7">
                  <c:v>Лунинский</c:v>
                </c:pt>
                <c:pt idx="8">
                  <c:v>Земетчинский</c:v>
                </c:pt>
                <c:pt idx="9">
                  <c:v>Неверкинский </c:v>
                </c:pt>
                <c:pt idx="10">
                  <c:v>Бессоновский</c:v>
                </c:pt>
                <c:pt idx="11">
                  <c:v>Тамалинский</c:v>
                </c:pt>
                <c:pt idx="12">
                  <c:v>Среднее значение</c:v>
                </c:pt>
                <c:pt idx="13">
                  <c:v>Бековский</c:v>
                </c:pt>
                <c:pt idx="14">
                  <c:v>Лопатинский</c:v>
                </c:pt>
                <c:pt idx="15">
                  <c:v>Мокшанский</c:v>
                </c:pt>
                <c:pt idx="16">
                  <c:v>Нижнеломовский</c:v>
                </c:pt>
                <c:pt idx="17">
                  <c:v>Спасский</c:v>
                </c:pt>
                <c:pt idx="18">
                  <c:v>Шемышейский</c:v>
                </c:pt>
                <c:pt idx="19">
                  <c:v>Сосновоборский</c:v>
                </c:pt>
                <c:pt idx="20">
                  <c:v>Кузнецкий</c:v>
                </c:pt>
                <c:pt idx="21">
                  <c:v>Башмаковский</c:v>
                </c:pt>
                <c:pt idx="22">
                  <c:v>г. Пенза</c:v>
                </c:pt>
                <c:pt idx="23">
                  <c:v>Камешкирский</c:v>
                </c:pt>
                <c:pt idx="24">
                  <c:v>Вадинский</c:v>
                </c:pt>
                <c:pt idx="25">
                  <c:v>Малосердобинский</c:v>
                </c:pt>
                <c:pt idx="26">
                  <c:v>Сердобский</c:v>
                </c:pt>
                <c:pt idx="27">
                  <c:v>Колышлейский</c:v>
                </c:pt>
                <c:pt idx="28">
                  <c:v>Наровчатский</c:v>
                </c:pt>
                <c:pt idx="29">
                  <c:v>Городищенский</c:v>
                </c:pt>
              </c:strCache>
            </c:strRef>
          </c:cat>
          <c:val>
            <c:numRef>
              <c:f>'беззраб (2)'!$C$2:$C$31</c:f>
              <c:numCache>
                <c:formatCode>0.00</c:formatCode>
                <c:ptCount val="30"/>
                <c:pt idx="0">
                  <c:v>55.177777777777784</c:v>
                </c:pt>
                <c:pt idx="1">
                  <c:v>44.245714285714278</c:v>
                </c:pt>
                <c:pt idx="2">
                  <c:v>42.139583333333334</c:v>
                </c:pt>
                <c:pt idx="3">
                  <c:v>42.06666666666667</c:v>
                </c:pt>
                <c:pt idx="4">
                  <c:v>40.300000000000004</c:v>
                </c:pt>
                <c:pt idx="5">
                  <c:v>29.87777777777778</c:v>
                </c:pt>
                <c:pt idx="6">
                  <c:v>26.619047619047624</c:v>
                </c:pt>
                <c:pt idx="7">
                  <c:v>25.604651162790699</c:v>
                </c:pt>
                <c:pt idx="8">
                  <c:v>23.473557692307693</c:v>
                </c:pt>
                <c:pt idx="9">
                  <c:v>21.074074074074069</c:v>
                </c:pt>
                <c:pt idx="10">
                  <c:v>20.171641791044777</c:v>
                </c:pt>
                <c:pt idx="11">
                  <c:v>19.571428571428573</c:v>
                </c:pt>
                <c:pt idx="12">
                  <c:v>18.573528853367907</c:v>
                </c:pt>
                <c:pt idx="13">
                  <c:v>18.211538461538463</c:v>
                </c:pt>
                <c:pt idx="14">
                  <c:v>15.935483870967747</c:v>
                </c:pt>
                <c:pt idx="15">
                  <c:v>14.634146341463419</c:v>
                </c:pt>
                <c:pt idx="16">
                  <c:v>14.358974358974361</c:v>
                </c:pt>
                <c:pt idx="17">
                  <c:v>12.833333333333336</c:v>
                </c:pt>
                <c:pt idx="18">
                  <c:v>10.041666666666664</c:v>
                </c:pt>
                <c:pt idx="19">
                  <c:v>10.023809523809529</c:v>
                </c:pt>
                <c:pt idx="20">
                  <c:v>8.4500000000000028</c:v>
                </c:pt>
                <c:pt idx="21">
                  <c:v>8.131868131868135</c:v>
                </c:pt>
                <c:pt idx="22">
                  <c:v>7.8891743119266016</c:v>
                </c:pt>
                <c:pt idx="23">
                  <c:v>6.7333333333333316</c:v>
                </c:pt>
                <c:pt idx="24">
                  <c:v>6.3513513513513598</c:v>
                </c:pt>
                <c:pt idx="25">
                  <c:v>5.9090909090909038</c:v>
                </c:pt>
                <c:pt idx="26">
                  <c:v>5.295454545454545</c:v>
                </c:pt>
                <c:pt idx="27">
                  <c:v>3.2272727272727351</c:v>
                </c:pt>
                <c:pt idx="28">
                  <c:v>0.19444444444444769</c:v>
                </c:pt>
                <c:pt idx="29">
                  <c:v>8.9473684210523471E-2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C7E5-4830-9EE6-93C5E0B497D3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0"/>
        <c:axId val="202336128"/>
        <c:axId val="202337664"/>
      </c:barChart>
      <c:catAx>
        <c:axId val="20233612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02337664"/>
        <c:crosses val="autoZero"/>
        <c:auto val="1"/>
        <c:lblAlgn val="ctr"/>
        <c:lblOffset val="100"/>
        <c:noMultiLvlLbl val="0"/>
      </c:catAx>
      <c:valAx>
        <c:axId val="202337664"/>
        <c:scaling>
          <c:orientation val="minMax"/>
        </c:scaling>
        <c:delete val="1"/>
        <c:axPos val="b"/>
        <c:numFmt formatCode="0.00" sourceLinked="1"/>
        <c:majorTickMark val="none"/>
        <c:minorTickMark val="none"/>
        <c:tickLblPos val="nextTo"/>
        <c:crossAx val="202336128"/>
        <c:crosses val="autoZero"/>
        <c:crossBetween val="between"/>
      </c:valAx>
      <c:spPr>
        <a:noFill/>
        <a:ln>
          <a:solidFill>
            <a:schemeClr val="bg1"/>
          </a:solidFill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1673015690556924"/>
          <c:y val="2.2398700394374256E-2"/>
          <c:w val="0.74135218499147459"/>
          <c:h val="0.9552025992112515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 w="12700">
              <a:solidFill>
                <a:schemeClr val="accent1"/>
              </a:solidFill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Pt>
            <c:idx val="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CB95-4364-B04A-4765605A7BA8}"/>
              </c:ext>
            </c:extLst>
          </c:dPt>
          <c:dPt>
            <c:idx val="4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CB95-4364-B04A-4765605A7BA8}"/>
              </c:ext>
            </c:extLst>
          </c:dPt>
          <c:dPt>
            <c:idx val="5"/>
            <c:invertIfNegative val="0"/>
            <c:bubble3D val="0"/>
            <c:spPr>
              <a:solidFill>
                <a:schemeClr val="accent1"/>
              </a:solidFill>
              <a:ln w="12700">
                <a:solidFill>
                  <a:schemeClr val="accent1"/>
                </a:solidFill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CB95-4364-B04A-4765605A7BA8}"/>
              </c:ext>
            </c:extLst>
          </c:dPt>
          <c:dPt>
            <c:idx val="9"/>
            <c:invertIfNegative val="0"/>
            <c:bubble3D val="0"/>
            <c:spPr>
              <a:solidFill>
                <a:schemeClr val="accent1"/>
              </a:solidFill>
              <a:ln w="12700">
                <a:solidFill>
                  <a:schemeClr val="accent1"/>
                </a:solidFill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CB95-4364-B04A-4765605A7BA8}"/>
              </c:ext>
            </c:extLst>
          </c:dPt>
          <c:dPt>
            <c:idx val="10"/>
            <c:invertIfNegative val="0"/>
            <c:bubble3D val="0"/>
            <c:spPr>
              <a:solidFill>
                <a:schemeClr val="accent1"/>
              </a:solidFill>
              <a:ln w="12700">
                <a:solidFill>
                  <a:schemeClr val="accent1"/>
                </a:solidFill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CB95-4364-B04A-4765605A7BA8}"/>
              </c:ext>
            </c:extLst>
          </c:dPt>
          <c:dPt>
            <c:idx val="12"/>
            <c:invertIfNegative val="0"/>
            <c:bubble3D val="0"/>
            <c:spPr>
              <a:solidFill>
                <a:schemeClr val="accent2"/>
              </a:solidFill>
              <a:ln w="12700">
                <a:solidFill>
                  <a:schemeClr val="accent2"/>
                </a:solidFill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CB95-4364-B04A-4765605A7BA8}"/>
              </c:ext>
            </c:extLst>
          </c:dPt>
          <c:dPt>
            <c:idx val="13"/>
            <c:invertIfNegative val="0"/>
            <c:bubble3D val="0"/>
            <c:spPr>
              <a:solidFill>
                <a:schemeClr val="accent1"/>
              </a:solidFill>
              <a:ln w="12700">
                <a:solidFill>
                  <a:schemeClr val="accent1"/>
                </a:solidFill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B-CB95-4364-B04A-4765605A7BA8}"/>
              </c:ext>
            </c:extLst>
          </c:dPt>
          <c:dLbls>
            <c:dLbl>
              <c:idx val="12"/>
              <c:tx>
                <c:rich>
                  <a:bodyPr/>
                  <a:lstStyle/>
                  <a:p>
                    <a:fld id="{6E10A2AA-B85A-4ABE-914E-5F6A0197727A}" type="VALUE">
                      <a:rPr lang="en-US">
                        <a:solidFill>
                          <a:schemeClr val="accent2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9-CB95-4364-B04A-4765605A7BA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сельхоз!$B$2:$B$29</c:f>
              <c:strCache>
                <c:ptCount val="28"/>
                <c:pt idx="0">
                  <c:v>Неверкинский </c:v>
                </c:pt>
                <c:pt idx="1">
                  <c:v>Спасский</c:v>
                </c:pt>
                <c:pt idx="2">
                  <c:v>Земетчинский</c:v>
                </c:pt>
                <c:pt idx="3">
                  <c:v>Бековский</c:v>
                </c:pt>
                <c:pt idx="4">
                  <c:v>Иссинский</c:v>
                </c:pt>
                <c:pt idx="5">
                  <c:v>Наровчатский</c:v>
                </c:pt>
                <c:pt idx="6">
                  <c:v>Камешкирский</c:v>
                </c:pt>
                <c:pt idx="7">
                  <c:v>Бессоновский</c:v>
                </c:pt>
                <c:pt idx="8">
                  <c:v>Каменский</c:v>
                </c:pt>
                <c:pt idx="9">
                  <c:v>Белинский</c:v>
                </c:pt>
                <c:pt idx="10">
                  <c:v>Колышлейский</c:v>
                </c:pt>
                <c:pt idx="11">
                  <c:v>Лопатинский</c:v>
                </c:pt>
                <c:pt idx="12">
                  <c:v>Среднее значение</c:v>
                </c:pt>
                <c:pt idx="13">
                  <c:v>Нижнеломовский</c:v>
                </c:pt>
                <c:pt idx="14">
                  <c:v>Малосердобинский</c:v>
                </c:pt>
                <c:pt idx="15">
                  <c:v>Никольский</c:v>
                </c:pt>
                <c:pt idx="16">
                  <c:v>Кузнецкий</c:v>
                </c:pt>
                <c:pt idx="17">
                  <c:v>Городищенский</c:v>
                </c:pt>
                <c:pt idx="18">
                  <c:v>Лунинский</c:v>
                </c:pt>
                <c:pt idx="19">
                  <c:v>Мокшанский</c:v>
                </c:pt>
                <c:pt idx="20">
                  <c:v>Пачелмский</c:v>
                </c:pt>
                <c:pt idx="21">
                  <c:v>Сердобский</c:v>
                </c:pt>
                <c:pt idx="22">
                  <c:v>Пензенский</c:v>
                </c:pt>
                <c:pt idx="23">
                  <c:v>Башмаковский</c:v>
                </c:pt>
                <c:pt idx="24">
                  <c:v>Тамалинский</c:v>
                </c:pt>
                <c:pt idx="25">
                  <c:v>Сосновоборский</c:v>
                </c:pt>
                <c:pt idx="26">
                  <c:v>Шемышейский</c:v>
                </c:pt>
                <c:pt idx="27">
                  <c:v>Вадинский</c:v>
                </c:pt>
              </c:strCache>
            </c:strRef>
          </c:cat>
          <c:val>
            <c:numRef>
              <c:f>сельхоз!$C$2:$C$29</c:f>
              <c:numCache>
                <c:formatCode>0.00</c:formatCode>
                <c:ptCount val="28"/>
                <c:pt idx="0">
                  <c:v>95.459084127166321</c:v>
                </c:pt>
                <c:pt idx="1">
                  <c:v>53.095123551279258</c:v>
                </c:pt>
                <c:pt idx="2">
                  <c:v>30.008465386364445</c:v>
                </c:pt>
                <c:pt idx="3">
                  <c:v>29.899848607279861</c:v>
                </c:pt>
                <c:pt idx="4">
                  <c:v>29.491053553553552</c:v>
                </c:pt>
                <c:pt idx="5">
                  <c:v>28.671569419751087</c:v>
                </c:pt>
                <c:pt idx="6">
                  <c:v>27.41432999088423</c:v>
                </c:pt>
                <c:pt idx="7">
                  <c:v>23.710604801917505</c:v>
                </c:pt>
                <c:pt idx="8">
                  <c:v>23.090642678289896</c:v>
                </c:pt>
                <c:pt idx="9">
                  <c:v>21.572524723218155</c:v>
                </c:pt>
                <c:pt idx="10">
                  <c:v>20.799753802866441</c:v>
                </c:pt>
                <c:pt idx="11">
                  <c:v>19.686835389196091</c:v>
                </c:pt>
                <c:pt idx="12">
                  <c:v>19.355888285278926</c:v>
                </c:pt>
                <c:pt idx="13">
                  <c:v>14.119456014939589</c:v>
                </c:pt>
                <c:pt idx="14">
                  <c:v>13.532101877031241</c:v>
                </c:pt>
                <c:pt idx="15">
                  <c:v>12.974928899584331</c:v>
                </c:pt>
                <c:pt idx="16">
                  <c:v>11.723434152313644</c:v>
                </c:pt>
                <c:pt idx="17">
                  <c:v>10.670993699233279</c:v>
                </c:pt>
                <c:pt idx="18">
                  <c:v>10.463294070494966</c:v>
                </c:pt>
                <c:pt idx="19">
                  <c:v>9.8820922068368358</c:v>
                </c:pt>
                <c:pt idx="20">
                  <c:v>7.3186613085520396</c:v>
                </c:pt>
                <c:pt idx="21">
                  <c:v>7.1544350965037413</c:v>
                </c:pt>
                <c:pt idx="22">
                  <c:v>6.7798250337952863</c:v>
                </c:pt>
                <c:pt idx="23">
                  <c:v>4.6002999999999998</c:v>
                </c:pt>
                <c:pt idx="24">
                  <c:v>4.5322260025230356</c:v>
                </c:pt>
                <c:pt idx="25">
                  <c:v>4.1359934853420262</c:v>
                </c:pt>
                <c:pt idx="26">
                  <c:v>1.2704313108704905</c:v>
                </c:pt>
                <c:pt idx="27">
                  <c:v>0.55097451274363063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CB95-4364-B04A-4765605A7BA8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409515056"/>
        <c:axId val="504377504"/>
      </c:barChart>
      <c:catAx>
        <c:axId val="40951505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04377504"/>
        <c:crosses val="autoZero"/>
        <c:auto val="1"/>
        <c:lblAlgn val="ctr"/>
        <c:lblOffset val="100"/>
        <c:noMultiLvlLbl val="0"/>
      </c:catAx>
      <c:valAx>
        <c:axId val="504377504"/>
        <c:scaling>
          <c:orientation val="minMax"/>
        </c:scaling>
        <c:delete val="1"/>
        <c:axPos val="b"/>
        <c:numFmt formatCode="0.00" sourceLinked="1"/>
        <c:majorTickMark val="none"/>
        <c:minorTickMark val="none"/>
        <c:tickLblPos val="nextTo"/>
        <c:crossAx val="409515056"/>
        <c:crosses val="autoZero"/>
        <c:crossBetween val="between"/>
      </c:valAx>
      <c:spPr>
        <a:noFill/>
        <a:ln>
          <a:solidFill>
            <a:schemeClr val="bg1"/>
          </a:solidFill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9649959086230037"/>
          <c:y val="2.2398701513820937E-2"/>
          <c:w val="0.7958533346810821"/>
          <c:h val="0.9552025992112515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 w="12700"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Pt>
            <c:idx val="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C9DA-4395-9915-CAEAC3A69329}"/>
              </c:ext>
            </c:extLst>
          </c:dPt>
          <c:dPt>
            <c:idx val="4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C9DA-4395-9915-CAEAC3A69329}"/>
              </c:ext>
            </c:extLst>
          </c:dPt>
          <c:dPt>
            <c:idx val="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2-C9DA-4395-9915-CAEAC3A69329}"/>
              </c:ext>
            </c:extLst>
          </c:dPt>
          <c:dPt>
            <c:idx val="9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3-C9DA-4395-9915-CAEAC3A69329}"/>
              </c:ext>
            </c:extLst>
          </c:dPt>
          <c:dPt>
            <c:idx val="1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4-C9DA-4395-9915-CAEAC3A69329}"/>
              </c:ext>
            </c:extLst>
          </c:dPt>
          <c:dPt>
            <c:idx val="1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5-C9DA-4395-9915-CAEAC3A69329}"/>
              </c:ext>
            </c:extLst>
          </c:dPt>
          <c:dPt>
            <c:idx val="1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6-C9DA-4395-9915-CAEAC3A69329}"/>
              </c:ext>
            </c:extLst>
          </c:dPt>
          <c:dPt>
            <c:idx val="15"/>
            <c:invertIfNegative val="0"/>
            <c:bubble3D val="0"/>
            <c:spPr>
              <a:solidFill>
                <a:schemeClr val="accent2"/>
              </a:solidFill>
              <a:ln w="12700"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8-C9DA-4395-9915-CAEAC3A69329}"/>
              </c:ext>
            </c:extLst>
          </c:dPt>
          <c:dLbls>
            <c:dLbl>
              <c:idx val="15"/>
              <c:tx>
                <c:rich>
                  <a:bodyPr/>
                  <a:lstStyle/>
                  <a:p>
                    <a:fld id="{5B3B7139-1856-4860-85EC-396AE544FEBF}" type="VALUE">
                      <a:rPr lang="en-US">
                        <a:solidFill>
                          <a:schemeClr val="accent2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8-C9DA-4395-9915-CAEAC3A6932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'оборот розн торг'!$B$2:$B$31</c:f>
              <c:strCache>
                <c:ptCount val="30"/>
                <c:pt idx="0">
                  <c:v>Лунинский</c:v>
                </c:pt>
                <c:pt idx="1">
                  <c:v>Земетчинский</c:v>
                </c:pt>
                <c:pt idx="2">
                  <c:v>г. Пенза</c:v>
                </c:pt>
                <c:pt idx="3">
                  <c:v>Пачелмский</c:v>
                </c:pt>
                <c:pt idx="4">
                  <c:v>Бековский</c:v>
                </c:pt>
                <c:pt idx="5">
                  <c:v>Неверкинский </c:v>
                </c:pt>
                <c:pt idx="6">
                  <c:v>Каменский</c:v>
                </c:pt>
                <c:pt idx="7">
                  <c:v>Тамалинский</c:v>
                </c:pt>
                <c:pt idx="8">
                  <c:v>Вадинский</c:v>
                </c:pt>
                <c:pt idx="9">
                  <c:v>Сосновоборский</c:v>
                </c:pt>
                <c:pt idx="10">
                  <c:v>Пензенский</c:v>
                </c:pt>
                <c:pt idx="11">
                  <c:v>Никольский</c:v>
                </c:pt>
                <c:pt idx="12">
                  <c:v>Нижнеломовский</c:v>
                </c:pt>
                <c:pt idx="13">
                  <c:v>Иссинский</c:v>
                </c:pt>
                <c:pt idx="14">
                  <c:v>Шемышейский</c:v>
                </c:pt>
                <c:pt idx="15">
                  <c:v>Среднее значение</c:v>
                </c:pt>
                <c:pt idx="16">
                  <c:v>г. Кузнецк</c:v>
                </c:pt>
                <c:pt idx="17">
                  <c:v>Камешкирский</c:v>
                </c:pt>
                <c:pt idx="18">
                  <c:v>Башмаковский</c:v>
                </c:pt>
                <c:pt idx="19">
                  <c:v>Белинский</c:v>
                </c:pt>
                <c:pt idx="20">
                  <c:v>Мокшанский</c:v>
                </c:pt>
                <c:pt idx="21">
                  <c:v>Наровчатский</c:v>
                </c:pt>
                <c:pt idx="22">
                  <c:v>Городищенский</c:v>
                </c:pt>
                <c:pt idx="23">
                  <c:v>Колышлейский</c:v>
                </c:pt>
                <c:pt idx="24">
                  <c:v>Бессоновский</c:v>
                </c:pt>
                <c:pt idx="25">
                  <c:v>Спасский</c:v>
                </c:pt>
                <c:pt idx="26">
                  <c:v>Малосердобинский</c:v>
                </c:pt>
                <c:pt idx="27">
                  <c:v>Кузнецкий</c:v>
                </c:pt>
                <c:pt idx="28">
                  <c:v>Лопатинский</c:v>
                </c:pt>
                <c:pt idx="29">
                  <c:v>Сердобский</c:v>
                </c:pt>
              </c:strCache>
            </c:strRef>
          </c:cat>
          <c:val>
            <c:numRef>
              <c:f>'оборот розн торг'!$C$2:$C$31</c:f>
              <c:numCache>
                <c:formatCode>0.00</c:formatCode>
                <c:ptCount val="30"/>
                <c:pt idx="0">
                  <c:v>27.4287306363535</c:v>
                </c:pt>
                <c:pt idx="1">
                  <c:v>21.711140350877198</c:v>
                </c:pt>
                <c:pt idx="2">
                  <c:v>16.115986695738645</c:v>
                </c:pt>
                <c:pt idx="3">
                  <c:v>15.966787127860954</c:v>
                </c:pt>
                <c:pt idx="4">
                  <c:v>13.020670454545458</c:v>
                </c:pt>
                <c:pt idx="5">
                  <c:v>12.877500000000005</c:v>
                </c:pt>
                <c:pt idx="6">
                  <c:v>12.842249848675333</c:v>
                </c:pt>
                <c:pt idx="7">
                  <c:v>12.316265060240966</c:v>
                </c:pt>
                <c:pt idx="8">
                  <c:v>11.765638766519823</c:v>
                </c:pt>
                <c:pt idx="9">
                  <c:v>11.135312499999994</c:v>
                </c:pt>
                <c:pt idx="10">
                  <c:v>11.101919587161166</c:v>
                </c:pt>
                <c:pt idx="11">
                  <c:v>10.275680751173702</c:v>
                </c:pt>
                <c:pt idx="12">
                  <c:v>10.136457581115071</c:v>
                </c:pt>
                <c:pt idx="13">
                  <c:v>9.4703291608715734</c:v>
                </c:pt>
                <c:pt idx="14">
                  <c:v>9.4168817204301085</c:v>
                </c:pt>
                <c:pt idx="15">
                  <c:v>9.320982499014292</c:v>
                </c:pt>
                <c:pt idx="16">
                  <c:v>9.0562795185617837</c:v>
                </c:pt>
                <c:pt idx="17">
                  <c:v>8.9808064516129082</c:v>
                </c:pt>
                <c:pt idx="18">
                  <c:v>7.7728947368421144</c:v>
                </c:pt>
                <c:pt idx="19">
                  <c:v>7.6625781249999925</c:v>
                </c:pt>
                <c:pt idx="20">
                  <c:v>6.1899999999999924</c:v>
                </c:pt>
                <c:pt idx="21">
                  <c:v>5.5745252597635186</c:v>
                </c:pt>
                <c:pt idx="22">
                  <c:v>5.2406488859977189</c:v>
                </c:pt>
                <c:pt idx="23">
                  <c:v>3.6666902755152617</c:v>
                </c:pt>
                <c:pt idx="24">
                  <c:v>2.8977619047619076</c:v>
                </c:pt>
                <c:pt idx="25">
                  <c:v>2.8506609749380347</c:v>
                </c:pt>
                <c:pt idx="26">
                  <c:v>2.4374247894103416</c:v>
                </c:pt>
                <c:pt idx="27">
                  <c:v>1.4302362204724364</c:v>
                </c:pt>
                <c:pt idx="28">
                  <c:v>0.7875000000000052</c:v>
                </c:pt>
                <c:pt idx="29">
                  <c:v>0.17893508697497668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C9DA-4395-9915-CAEAC3A69329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205886208"/>
        <c:axId val="210508800"/>
      </c:barChart>
      <c:catAx>
        <c:axId val="20588620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10508800"/>
        <c:crosses val="autoZero"/>
        <c:auto val="1"/>
        <c:lblAlgn val="ctr"/>
        <c:lblOffset val="100"/>
        <c:noMultiLvlLbl val="0"/>
      </c:catAx>
      <c:valAx>
        <c:axId val="210508800"/>
        <c:scaling>
          <c:orientation val="minMax"/>
        </c:scaling>
        <c:delete val="1"/>
        <c:axPos val="b"/>
        <c:numFmt formatCode="0.00" sourceLinked="1"/>
        <c:majorTickMark val="none"/>
        <c:minorTickMark val="none"/>
        <c:tickLblPos val="nextTo"/>
        <c:crossAx val="205886208"/>
        <c:crosses val="autoZero"/>
        <c:crossBetween val="between"/>
      </c:valAx>
      <c:spPr>
        <a:noFill/>
        <a:ln>
          <a:solidFill>
            <a:schemeClr val="bg1"/>
          </a:solidFill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0673787081770595"/>
          <c:y val="2.0362454903976594E-2"/>
          <c:w val="0.78834445664053121"/>
          <c:h val="0.9552025992112515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 w="12700">
              <a:solidFill>
                <a:schemeClr val="accent1"/>
              </a:solidFill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Pt>
            <c:idx val="3"/>
            <c:invertIfNegative val="0"/>
            <c:bubble3D val="0"/>
            <c:spPr>
              <a:solidFill>
                <a:schemeClr val="accent2"/>
              </a:solidFill>
              <a:ln w="12700">
                <a:solidFill>
                  <a:schemeClr val="accent2"/>
                </a:solidFill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B422-49BB-BF70-900F91999A42}"/>
              </c:ext>
            </c:extLst>
          </c:dPt>
          <c:dPt>
            <c:idx val="4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2-B422-49BB-BF70-900F91999A42}"/>
              </c:ext>
            </c:extLst>
          </c:dPt>
          <c:dPt>
            <c:idx val="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4-B422-49BB-BF70-900F91999A42}"/>
              </c:ext>
            </c:extLst>
          </c:dPt>
          <c:dPt>
            <c:idx val="9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6-B422-49BB-BF70-900F91999A42}"/>
              </c:ext>
            </c:extLst>
          </c:dPt>
          <c:dPt>
            <c:idx val="1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8-B422-49BB-BF70-900F91999A42}"/>
              </c:ext>
            </c:extLst>
          </c:dPt>
          <c:dPt>
            <c:idx val="1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A-B422-49BB-BF70-900F91999A42}"/>
              </c:ext>
            </c:extLst>
          </c:dPt>
          <c:dPt>
            <c:idx val="1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C-B422-49BB-BF70-900F91999A42}"/>
              </c:ext>
            </c:extLst>
          </c:dPt>
          <c:dLbls>
            <c:dLbl>
              <c:idx val="3"/>
              <c:tx>
                <c:rich>
                  <a:bodyPr/>
                  <a:lstStyle/>
                  <a:p>
                    <a:fld id="{1A9D24D0-C4E2-4F2E-8AEC-D7A2B4E18D9E}" type="VALUE">
                      <a:rPr lang="en-US">
                        <a:solidFill>
                          <a:schemeClr val="accent2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B422-49BB-BF70-900F91999A4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'оборот общ питан'!$B$2:$B$31</c:f>
              <c:strCache>
                <c:ptCount val="30"/>
                <c:pt idx="0">
                  <c:v>Малосердобинский</c:v>
                </c:pt>
                <c:pt idx="1">
                  <c:v>Пензенский</c:v>
                </c:pt>
                <c:pt idx="2">
                  <c:v>Вадинский</c:v>
                </c:pt>
                <c:pt idx="3">
                  <c:v>Среднее значение</c:v>
                </c:pt>
                <c:pt idx="4">
                  <c:v>Сердобский</c:v>
                </c:pt>
                <c:pt idx="5">
                  <c:v>Шемышейский</c:v>
                </c:pt>
                <c:pt idx="6">
                  <c:v>Пачелмский</c:v>
                </c:pt>
                <c:pt idx="7">
                  <c:v>г. Кузнецк</c:v>
                </c:pt>
                <c:pt idx="8">
                  <c:v>Земетчинский</c:v>
                </c:pt>
                <c:pt idx="9">
                  <c:v>Спасский</c:v>
                </c:pt>
                <c:pt idx="10">
                  <c:v>Башмаковский</c:v>
                </c:pt>
                <c:pt idx="11">
                  <c:v>Городищенский</c:v>
                </c:pt>
                <c:pt idx="12">
                  <c:v>Неверкинский </c:v>
                </c:pt>
                <c:pt idx="13">
                  <c:v>Наровчатский</c:v>
                </c:pt>
                <c:pt idx="14">
                  <c:v>Сосновоборский</c:v>
                </c:pt>
                <c:pt idx="15">
                  <c:v>Лунинский</c:v>
                </c:pt>
                <c:pt idx="16">
                  <c:v>Бековский</c:v>
                </c:pt>
                <c:pt idx="17">
                  <c:v>Кузнецкий</c:v>
                </c:pt>
                <c:pt idx="18">
                  <c:v>Бессоновский</c:v>
                </c:pt>
                <c:pt idx="19">
                  <c:v>Лопатинский</c:v>
                </c:pt>
                <c:pt idx="20">
                  <c:v>Камешкирский</c:v>
                </c:pt>
                <c:pt idx="21">
                  <c:v>Тамалинский</c:v>
                </c:pt>
                <c:pt idx="22">
                  <c:v>Никольский</c:v>
                </c:pt>
                <c:pt idx="23">
                  <c:v>Колышлейский</c:v>
                </c:pt>
                <c:pt idx="24">
                  <c:v>Каменский</c:v>
                </c:pt>
                <c:pt idx="25">
                  <c:v>Белинский</c:v>
                </c:pt>
                <c:pt idx="26">
                  <c:v>Нижнеломовский</c:v>
                </c:pt>
                <c:pt idx="27">
                  <c:v>Иссинский</c:v>
                </c:pt>
                <c:pt idx="28">
                  <c:v>Мокшанский</c:v>
                </c:pt>
                <c:pt idx="29">
                  <c:v>г. Пенза</c:v>
                </c:pt>
              </c:strCache>
            </c:strRef>
          </c:cat>
          <c:val>
            <c:numRef>
              <c:f>'оборот общ питан'!$C$2:$C$31</c:f>
              <c:numCache>
                <c:formatCode>0.00</c:formatCode>
                <c:ptCount val="30"/>
                <c:pt idx="0">
                  <c:v>2100</c:v>
                </c:pt>
                <c:pt idx="1">
                  <c:v>215.23809523809527</c:v>
                </c:pt>
                <c:pt idx="2">
                  <c:v>121.80451127819549</c:v>
                </c:pt>
                <c:pt idx="3">
                  <c:v>92.36070681001361</c:v>
                </c:pt>
                <c:pt idx="4">
                  <c:v>35.365853658536594</c:v>
                </c:pt>
                <c:pt idx="5">
                  <c:v>28.666666666666675</c:v>
                </c:pt>
                <c:pt idx="6">
                  <c:v>27.368421052631575</c:v>
                </c:pt>
                <c:pt idx="7">
                  <c:v>23.153846153846153</c:v>
                </c:pt>
                <c:pt idx="8">
                  <c:v>20.183486238532119</c:v>
                </c:pt>
                <c:pt idx="9">
                  <c:v>14.406779661016959</c:v>
                </c:pt>
                <c:pt idx="10">
                  <c:v>10.61538461538462</c:v>
                </c:pt>
                <c:pt idx="11">
                  <c:v>10</c:v>
                </c:pt>
                <c:pt idx="12">
                  <c:v>9.9999999999999964</c:v>
                </c:pt>
                <c:pt idx="13">
                  <c:v>8.5714285714285694</c:v>
                </c:pt>
                <c:pt idx="14">
                  <c:v>8.0769230769230838</c:v>
                </c:pt>
                <c:pt idx="15">
                  <c:v>7.200000000000002</c:v>
                </c:pt>
                <c:pt idx="16">
                  <c:v>6.4670658682634841</c:v>
                </c:pt>
                <c:pt idx="17">
                  <c:v>5.2631578947368389</c:v>
                </c:pt>
                <c:pt idx="18">
                  <c:v>4.50588235294118</c:v>
                </c:pt>
                <c:pt idx="19">
                  <c:v>4.3478260869565215</c:v>
                </c:pt>
                <c:pt idx="20">
                  <c:v>3.1931818181818041</c:v>
                </c:pt>
                <c:pt idx="21">
                  <c:v>2.678571428571435</c:v>
                </c:pt>
                <c:pt idx="22">
                  <c:v>1.9999999999999927</c:v>
                </c:pt>
                <c:pt idx="23">
                  <c:v>1.904761904761898</c:v>
                </c:pt>
                <c:pt idx="24">
                  <c:v>1.7301038062283738</c:v>
                </c:pt>
                <c:pt idx="25">
                  <c:v>1.717964071856283</c:v>
                </c:pt>
                <c:pt idx="26">
                  <c:v>1.5290519877675839</c:v>
                </c:pt>
                <c:pt idx="27">
                  <c:v>1.098901098901095</c:v>
                </c:pt>
                <c:pt idx="28">
                  <c:v>0.85106382978723094</c:v>
                </c:pt>
                <c:pt idx="29">
                  <c:v>0.52156913018397355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B422-49BB-BF70-900F91999A42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185866112"/>
        <c:axId val="202374144"/>
      </c:barChart>
      <c:catAx>
        <c:axId val="18586611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accent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02374144"/>
        <c:crosses val="autoZero"/>
        <c:auto val="1"/>
        <c:lblAlgn val="ctr"/>
        <c:lblOffset val="100"/>
        <c:noMultiLvlLbl val="0"/>
      </c:catAx>
      <c:valAx>
        <c:axId val="202374144"/>
        <c:scaling>
          <c:orientation val="minMax"/>
        </c:scaling>
        <c:delete val="1"/>
        <c:axPos val="b"/>
        <c:numFmt formatCode="0.00" sourceLinked="1"/>
        <c:majorTickMark val="none"/>
        <c:minorTickMark val="none"/>
        <c:tickLblPos val="nextTo"/>
        <c:crossAx val="185866112"/>
        <c:crosses val="autoZero"/>
        <c:crossBetween val="between"/>
      </c:valAx>
      <c:spPr>
        <a:noFill/>
        <a:ln>
          <a:solidFill>
            <a:schemeClr val="bg1"/>
          </a:solidFill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8872015998000252E-2"/>
          <c:y val="0.10596875619380529"/>
          <c:w val="0.93997323033960101"/>
          <c:h val="0.75068080606502285"/>
        </c:manualLayout>
      </c:layout>
      <c:lineChart>
        <c:grouping val="standard"/>
        <c:varyColors val="0"/>
        <c:ser>
          <c:idx val="0"/>
          <c:order val="0"/>
          <c:tx>
            <c:strRef>
              <c:f>Лист2!$L$17</c:f>
              <c:strCache>
                <c:ptCount val="1"/>
                <c:pt idx="0">
                  <c:v>Среднее значение сводного индекса отклонения по долгосроному прогнозу, % </c:v>
                </c:pt>
              </c:strCache>
            </c:strRef>
          </c:tx>
          <c:spPr>
            <a:ln>
              <a:solidFill>
                <a:schemeClr val="tx1"/>
              </a:solidFill>
              <a:prstDash val="sysDash"/>
            </a:ln>
          </c:spPr>
          <c:marker>
            <c:symbol val="circle"/>
            <c:size val="7"/>
            <c:spPr>
              <a:solidFill>
                <a:schemeClr val="tx1"/>
              </a:solidFill>
              <a:ln>
                <a:noFill/>
              </a:ln>
            </c:spPr>
          </c:marker>
          <c:dLbls>
            <c:dLbl>
              <c:idx val="1"/>
              <c:layout>
                <c:manualLayout>
                  <c:x val="-4.7279935594403161E-2"/>
                  <c:y val="-0.1260742963339713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9CE-4E40-8710-40953FA3DD87}"/>
                </c:ext>
              </c:extLst>
            </c:dLbl>
            <c:dLbl>
              <c:idx val="2"/>
              <c:layout>
                <c:manualLayout>
                  <c:x val="-5.1540616246498597E-2"/>
                  <c:y val="-7.35768647640507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9CE-4E40-8710-40953FA3DD87}"/>
                </c:ext>
              </c:extLst>
            </c:dLbl>
            <c:dLbl>
              <c:idx val="3"/>
              <c:layout>
                <c:manualLayout>
                  <c:x val="-3.8678183013774958E-2"/>
                  <c:y val="-7.6121253720308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9CE-4E40-8710-40953FA3DD87}"/>
                </c:ext>
              </c:extLst>
            </c:dLbl>
            <c:dLbl>
              <c:idx val="4"/>
              <c:layout>
                <c:manualLayout>
                  <c:x val="-5.100824940644015E-4"/>
                  <c:y val="-5.06028146200024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9CE-4E40-8710-40953FA3DD87}"/>
                </c:ext>
              </c:extLst>
            </c:dLbl>
            <c:dLbl>
              <c:idx val="6"/>
              <c:layout>
                <c:manualLayout>
                  <c:x val="-3.8095238095238015E-2"/>
                  <c:y val="6.45003482654439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9CE-4E40-8710-40953FA3DD87}"/>
                </c:ext>
              </c:extLst>
            </c:dLbl>
            <c:dLbl>
              <c:idx val="7"/>
              <c:layout>
                <c:manualLayout>
                  <c:x val="-5.1540616246498597E-2"/>
                  <c:y val="-6.66666960747683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9CE-4E40-8710-40953FA3DD87}"/>
                </c:ext>
              </c:extLst>
            </c:dLbl>
            <c:dLbl>
              <c:idx val="8"/>
              <c:layout>
                <c:manualLayout>
                  <c:x val="-4.7058823529411764E-2"/>
                  <c:y val="7.31604460444412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59CE-4E40-8710-40953FA3DD87}"/>
                </c:ext>
              </c:extLst>
            </c:dLbl>
            <c:dLbl>
              <c:idx val="9"/>
              <c:layout>
                <c:manualLayout>
                  <c:x val="-2.7766756409044427E-2"/>
                  <c:y val="-0.103081277964347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4133737211234919E-2"/>
                      <c:h val="8.8515445208515939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59CE-4E40-8710-40953FA3DD87}"/>
                </c:ext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Лист2!$R$16:$V$16</c:f>
              <c:numCache>
                <c:formatCode>General</c:formatCode>
                <c:ptCount val="5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</c:numCache>
            </c:numRef>
          </c:cat>
          <c:val>
            <c:numRef>
              <c:f>Лист2!$R$17:$V$17</c:f>
              <c:numCache>
                <c:formatCode>0.00</c:formatCode>
                <c:ptCount val="5"/>
                <c:pt idx="0">
                  <c:v>41.2</c:v>
                </c:pt>
                <c:pt idx="1">
                  <c:v>25.7</c:v>
                </c:pt>
                <c:pt idx="2">
                  <c:v>25.4</c:v>
                </c:pt>
                <c:pt idx="3">
                  <c:v>51.87</c:v>
                </c:pt>
                <c:pt idx="4">
                  <c:v>27.43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59CE-4E40-8710-40953FA3DD8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7802752"/>
        <c:axId val="57804288"/>
      </c:lineChart>
      <c:catAx>
        <c:axId val="578027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57804288"/>
        <c:crosses val="autoZero"/>
        <c:auto val="1"/>
        <c:lblAlgn val="ctr"/>
        <c:lblOffset val="100"/>
        <c:tickMarkSkip val="1"/>
        <c:noMultiLvlLbl val="0"/>
      </c:catAx>
      <c:valAx>
        <c:axId val="57804288"/>
        <c:scaling>
          <c:orientation val="minMax"/>
          <c:max val="60"/>
          <c:min val="0"/>
        </c:scaling>
        <c:delete val="0"/>
        <c:axPos val="l"/>
        <c:numFmt formatCode="0.00" sourceLinked="1"/>
        <c:majorTickMark val="out"/>
        <c:minorTickMark val="none"/>
        <c:tickLblPos val="none"/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5780275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 w="9525"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3.0313379502261015E-2"/>
          <c:y val="0.11045344718045476"/>
          <c:w val="0.93997323033960101"/>
          <c:h val="0.77360340338075895"/>
        </c:manualLayout>
      </c:layout>
      <c:lineChart>
        <c:grouping val="standard"/>
        <c:varyColors val="0"/>
        <c:ser>
          <c:idx val="0"/>
          <c:order val="0"/>
          <c:tx>
            <c:strRef>
              <c:f>'ранг_ведомства_средн. МОЙ'!$C$15</c:f>
              <c:strCache>
                <c:ptCount val="1"/>
                <c:pt idx="0">
                  <c:v>Среднее значение сводного индекса отклонения по среднесрочному прогнозу, % </c:v>
                </c:pt>
              </c:strCache>
            </c:strRef>
          </c:tx>
          <c:spPr>
            <a:ln>
              <a:solidFill>
                <a:schemeClr val="tx1"/>
              </a:solidFill>
              <a:prstDash val="sysDash"/>
            </a:ln>
          </c:spPr>
          <c:marker>
            <c:symbol val="circle"/>
            <c:size val="7"/>
            <c:spPr>
              <a:solidFill>
                <a:schemeClr val="accent4">
                  <a:lumMod val="75000"/>
                </a:schemeClr>
              </a:solidFill>
              <a:ln>
                <a:solidFill>
                  <a:schemeClr val="accent4">
                    <a:lumMod val="50000"/>
                  </a:schemeClr>
                </a:solidFill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'ранг_ведомства_средн. МОЙ'!$P$14:$T$14</c:f>
              <c:numCache>
                <c:formatCode>General</c:formatCode>
                <c:ptCount val="5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</c:numCache>
            </c:numRef>
          </c:cat>
          <c:val>
            <c:numRef>
              <c:f>'ранг_ведомства_средн. МОЙ'!$P$15:$T$15</c:f>
              <c:numCache>
                <c:formatCode>General</c:formatCode>
                <c:ptCount val="5"/>
                <c:pt idx="0">
                  <c:v>7.44</c:v>
                </c:pt>
                <c:pt idx="1">
                  <c:v>6.02</c:v>
                </c:pt>
                <c:pt idx="2">
                  <c:v>5.59</c:v>
                </c:pt>
                <c:pt idx="3">
                  <c:v>5.26</c:v>
                </c:pt>
                <c:pt idx="4">
                  <c:v>3.22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F8E-4518-BD1D-51E99846ADA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0040192"/>
        <c:axId val="130041728"/>
      </c:lineChart>
      <c:catAx>
        <c:axId val="1300401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0041728"/>
        <c:crosses val="autoZero"/>
        <c:auto val="1"/>
        <c:lblAlgn val="ctr"/>
        <c:lblOffset val="100"/>
        <c:tickMarkSkip val="1"/>
        <c:noMultiLvlLbl val="0"/>
      </c:catAx>
      <c:valAx>
        <c:axId val="130041728"/>
        <c:scaling>
          <c:orientation val="minMax"/>
          <c:min val="3"/>
        </c:scaling>
        <c:delete val="0"/>
        <c:axPos val="l"/>
        <c:numFmt formatCode="General" sourceLinked="1"/>
        <c:majorTickMark val="none"/>
        <c:minorTickMark val="none"/>
        <c:tickLblPos val="none"/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004019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 w="9525"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51273675127958407"/>
          <c:y val="3.6124794745484398E-2"/>
          <c:w val="0.48726324872041599"/>
          <c:h val="0.92775041050903118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solidFill>
                <a:schemeClr val="accent1"/>
              </a:solidFill>
            </a:ln>
            <a:effectLst/>
          </c:spPr>
          <c:invertIfNegative val="0"/>
          <c:dPt>
            <c:idx val="2"/>
            <c:invertIfNegative val="0"/>
            <c:bubble3D val="0"/>
            <c:spPr>
              <a:pattFill prst="wdDnDiag">
                <a:fgClr>
                  <a:schemeClr val="accent1"/>
                </a:fgClr>
                <a:bgClr>
                  <a:schemeClr val="bg1"/>
                </a:bgClr>
              </a:pattFill>
              <a:ln>
                <a:solidFill>
                  <a:schemeClr val="accen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6A45-4691-BAED-D46A9091867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ранг_ведомства_долгос!$B$3:$B$7</c:f>
              <c:strCache>
                <c:ptCount val="5"/>
                <c:pt idx="0">
                  <c:v>Министерство строительства, транспорта и дорожного хозяйства Пензенской области</c:v>
                </c:pt>
                <c:pt idx="1">
                  <c:v>Министерство труда, социальной защиты и демографии Пензенской области</c:v>
                </c:pt>
                <c:pt idx="2">
                  <c:v>Среднее значение сводного ведомственного индекса</c:v>
                </c:pt>
                <c:pt idx="3">
                  <c:v>Министерство сельского хозяйства Пензенской области</c:v>
                </c:pt>
                <c:pt idx="4">
                  <c:v>Министерство экономического развития и промышленности Пензенской области</c:v>
                </c:pt>
              </c:strCache>
            </c:strRef>
          </c:cat>
          <c:val>
            <c:numRef>
              <c:f>ранг_ведомства_долгос!$C$3:$C$7</c:f>
              <c:numCache>
                <c:formatCode>#,##0.00</c:formatCode>
                <c:ptCount val="5"/>
                <c:pt idx="0" formatCode="0.00">
                  <c:v>11.24</c:v>
                </c:pt>
                <c:pt idx="1">
                  <c:v>10.09</c:v>
                </c:pt>
                <c:pt idx="2">
                  <c:v>7.43</c:v>
                </c:pt>
                <c:pt idx="3">
                  <c:v>4.7</c:v>
                </c:pt>
                <c:pt idx="4" formatCode="0.00">
                  <c:v>3.7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A45-4691-BAED-D46A9091867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130062976"/>
        <c:axId val="130064768"/>
      </c:barChart>
      <c:catAx>
        <c:axId val="13006297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bg1">
                <a:lumMod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0064768"/>
        <c:crosses val="autoZero"/>
        <c:auto val="1"/>
        <c:lblAlgn val="ctr"/>
        <c:lblOffset val="100"/>
        <c:noMultiLvlLbl val="0"/>
      </c:catAx>
      <c:valAx>
        <c:axId val="130064768"/>
        <c:scaling>
          <c:orientation val="minMax"/>
          <c:max val="13"/>
          <c:min val="0"/>
        </c:scaling>
        <c:delete val="0"/>
        <c:axPos val="b"/>
        <c:numFmt formatCode="0.00" sourceLinked="1"/>
        <c:majorTickMark val="none"/>
        <c:minorTickMark val="none"/>
        <c:tickLblPos val="none"/>
        <c:spPr>
          <a:ln>
            <a:solidFill>
              <a:schemeClr val="bg1">
                <a:lumMod val="75000"/>
              </a:schemeClr>
            </a:solidFill>
          </a:ln>
        </c:spPr>
        <c:crossAx val="1300629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8872015998000252E-2"/>
          <c:y val="4.4327024266264836E-2"/>
          <c:w val="0.92263559512780557"/>
          <c:h val="0.8122586666019509"/>
        </c:manualLayout>
      </c:layout>
      <c:lineChart>
        <c:grouping val="standard"/>
        <c:varyColors val="0"/>
        <c:ser>
          <c:idx val="0"/>
          <c:order val="0"/>
          <c:tx>
            <c:strRef>
              <c:f>ранг_ведомства_долгос!$C$12</c:f>
              <c:strCache>
                <c:ptCount val="1"/>
                <c:pt idx="0">
                  <c:v>Среднее значение сводного индекса отклонения по долгосроному прогнозу, % </c:v>
                </c:pt>
              </c:strCache>
            </c:strRef>
          </c:tx>
          <c:spPr>
            <a:ln>
              <a:solidFill>
                <a:schemeClr val="tx1"/>
              </a:solidFill>
              <a:prstDash val="sysDash"/>
            </a:ln>
          </c:spPr>
          <c:marker>
            <c:symbol val="circle"/>
            <c:size val="7"/>
            <c:spPr>
              <a:solidFill>
                <a:schemeClr val="accent4">
                  <a:lumMod val="75000"/>
                </a:schemeClr>
              </a:solidFill>
              <a:ln>
                <a:solidFill>
                  <a:schemeClr val="accent4">
                    <a:lumMod val="50000"/>
                  </a:schemeClr>
                </a:solidFill>
              </a:ln>
            </c:spPr>
          </c:marker>
          <c:dLbls>
            <c:dLbl>
              <c:idx val="1"/>
              <c:layout>
                <c:manualLayout>
                  <c:x val="-4.7279935594403161E-2"/>
                  <c:y val="-0.1260742963339713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4259-4A5A-A94F-B2D82EAA08A4}"/>
                </c:ext>
              </c:extLst>
            </c:dLbl>
            <c:dLbl>
              <c:idx val="2"/>
              <c:layout>
                <c:manualLayout>
                  <c:x val="-5.1540616246498597E-2"/>
                  <c:y val="-7.35768647640507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259-4A5A-A94F-B2D82EAA08A4}"/>
                </c:ext>
              </c:extLst>
            </c:dLbl>
            <c:dLbl>
              <c:idx val="3"/>
              <c:layout>
                <c:manualLayout>
                  <c:x val="-2.1149771922681443E-2"/>
                  <c:y val="-8.29469780441267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259-4A5A-A94F-B2D82EAA08A4}"/>
                </c:ext>
              </c:extLst>
            </c:dLbl>
            <c:dLbl>
              <c:idx val="4"/>
              <c:layout>
                <c:manualLayout>
                  <c:x val="-5.100824940644015E-4"/>
                  <c:y val="-5.06028146200024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259-4A5A-A94F-B2D82EAA08A4}"/>
                </c:ext>
              </c:extLst>
            </c:dLbl>
            <c:dLbl>
              <c:idx val="6"/>
              <c:layout>
                <c:manualLayout>
                  <c:x val="-3.8095238095238015E-2"/>
                  <c:y val="6.45003482654439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259-4A5A-A94F-B2D82EAA08A4}"/>
                </c:ext>
              </c:extLst>
            </c:dLbl>
            <c:dLbl>
              <c:idx val="7"/>
              <c:layout>
                <c:manualLayout>
                  <c:x val="-5.1540616246498597E-2"/>
                  <c:y val="-6.66666960747683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259-4A5A-A94F-B2D82EAA08A4}"/>
                </c:ext>
              </c:extLst>
            </c:dLbl>
            <c:dLbl>
              <c:idx val="8"/>
              <c:layout>
                <c:manualLayout>
                  <c:x val="-4.7058823529411764E-2"/>
                  <c:y val="7.31604460444412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4259-4A5A-A94F-B2D82EAA08A4}"/>
                </c:ext>
              </c:extLst>
            </c:dLbl>
            <c:dLbl>
              <c:idx val="9"/>
              <c:layout>
                <c:manualLayout>
                  <c:x val="-2.7766756409044427E-2"/>
                  <c:y val="-0.1030812779643477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4133737211234919E-2"/>
                      <c:h val="8.8515445208515939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4259-4A5A-A94F-B2D82EAA08A4}"/>
                </c:ext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ранг_ведомства_долгос!$I$11:$M$11</c:f>
              <c:numCache>
                <c:formatCode>General</c:formatCode>
                <c:ptCount val="5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</c:numCache>
            </c:numRef>
          </c:cat>
          <c:val>
            <c:numRef>
              <c:f>ранг_ведомства_долгос!$I$12:$M$12</c:f>
              <c:numCache>
                <c:formatCode>0.00</c:formatCode>
                <c:ptCount val="5"/>
                <c:pt idx="0">
                  <c:v>9.51</c:v>
                </c:pt>
                <c:pt idx="1">
                  <c:v>7.2</c:v>
                </c:pt>
                <c:pt idx="2">
                  <c:v>10.36</c:v>
                </c:pt>
                <c:pt idx="3">
                  <c:v>7.47</c:v>
                </c:pt>
                <c:pt idx="4">
                  <c:v>7.43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4259-4A5A-A94F-B2D82EAA08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0076032"/>
        <c:axId val="130106496"/>
      </c:lineChart>
      <c:catAx>
        <c:axId val="1300760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0106496"/>
        <c:crosses val="autoZero"/>
        <c:auto val="1"/>
        <c:lblAlgn val="ctr"/>
        <c:lblOffset val="100"/>
        <c:tickMarkSkip val="1"/>
        <c:noMultiLvlLbl val="0"/>
      </c:catAx>
      <c:valAx>
        <c:axId val="130106496"/>
        <c:scaling>
          <c:orientation val="minMax"/>
          <c:max val="11"/>
          <c:min val="6"/>
        </c:scaling>
        <c:delete val="0"/>
        <c:axPos val="l"/>
        <c:numFmt formatCode="0.00" sourceLinked="1"/>
        <c:majorTickMark val="out"/>
        <c:minorTickMark val="none"/>
        <c:tickLblPos val="none"/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007603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 w="9525"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4135076553592277"/>
          <c:y val="2.2391853917276126E-2"/>
          <c:w val="0.74533523497043974"/>
          <c:h val="0.95521629216544779"/>
        </c:manualLayout>
      </c:layout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 w="12700">
              <a:solidFill>
                <a:schemeClr val="accent1"/>
              </a:solidFill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Pt>
            <c:idx val="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542B-44B6-9077-ABD7CFDB2B1C}"/>
              </c:ext>
            </c:extLst>
          </c:dPt>
          <c:dPt>
            <c:idx val="4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542B-44B6-9077-ABD7CFDB2B1C}"/>
              </c:ext>
            </c:extLst>
          </c:dPt>
          <c:dPt>
            <c:idx val="5"/>
            <c:invertIfNegative val="0"/>
            <c:bubble3D val="0"/>
            <c:spPr>
              <a:solidFill>
                <a:schemeClr val="accent2"/>
              </a:solidFill>
              <a:ln w="12700">
                <a:solidFill>
                  <a:srgbClr val="C00000"/>
                </a:solidFill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542B-44B6-9077-ABD7CFDB2B1C}"/>
              </c:ext>
            </c:extLst>
          </c:dPt>
          <c:dPt>
            <c:idx val="10"/>
            <c:invertIfNegative val="0"/>
            <c:bubble3D val="0"/>
            <c:spPr>
              <a:solidFill>
                <a:schemeClr val="accent1"/>
              </a:solidFill>
              <a:ln w="12700">
                <a:solidFill>
                  <a:schemeClr val="accent1"/>
                </a:solidFill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542B-44B6-9077-ABD7CFDB2B1C}"/>
              </c:ext>
            </c:extLst>
          </c:dPt>
          <c:dLbls>
            <c:dLbl>
              <c:idx val="5"/>
              <c:tx>
                <c:rich>
                  <a:bodyPr/>
                  <a:lstStyle/>
                  <a:p>
                    <a:fld id="{621159B1-00AA-4259-8B5E-460BFD797AB2}" type="VALUE">
                      <a:rPr lang="en-US">
                        <a:solidFill>
                          <a:srgbClr val="C0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542B-44B6-9077-ABD7CFDB2B1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'сводный индекс'!$A$2:$A$31</c:f>
              <c:strCache>
                <c:ptCount val="30"/>
                <c:pt idx="0">
                  <c:v>Малосердобинский</c:v>
                </c:pt>
                <c:pt idx="1">
                  <c:v>Пачелмский</c:v>
                </c:pt>
                <c:pt idx="2">
                  <c:v>Пензенский</c:v>
                </c:pt>
                <c:pt idx="3">
                  <c:v>Лопатинский</c:v>
                </c:pt>
                <c:pt idx="4">
                  <c:v>Вадинский</c:v>
                </c:pt>
                <c:pt idx="5">
                  <c:v>Среднее значение</c:v>
                </c:pt>
                <c:pt idx="6">
                  <c:v>Тамалинский</c:v>
                </c:pt>
                <c:pt idx="7">
                  <c:v>Наровчатский</c:v>
                </c:pt>
                <c:pt idx="8">
                  <c:v>Неверкинский </c:v>
                </c:pt>
                <c:pt idx="9">
                  <c:v>Лунинский</c:v>
                </c:pt>
                <c:pt idx="10">
                  <c:v>Каменский</c:v>
                </c:pt>
                <c:pt idx="11">
                  <c:v>Иссинский</c:v>
                </c:pt>
                <c:pt idx="12">
                  <c:v>Спасский</c:v>
                </c:pt>
                <c:pt idx="13">
                  <c:v>г. Кузнецк</c:v>
                </c:pt>
                <c:pt idx="14">
                  <c:v>Нижнеломовский</c:v>
                </c:pt>
                <c:pt idx="15">
                  <c:v>Никольский</c:v>
                </c:pt>
                <c:pt idx="16">
                  <c:v>Земетчинский</c:v>
                </c:pt>
                <c:pt idx="17">
                  <c:v>Белинский</c:v>
                </c:pt>
                <c:pt idx="18">
                  <c:v>Мокшанский</c:v>
                </c:pt>
                <c:pt idx="19">
                  <c:v>Бековский</c:v>
                </c:pt>
                <c:pt idx="20">
                  <c:v>Бессоновский</c:v>
                </c:pt>
                <c:pt idx="21">
                  <c:v>Камешкирский</c:v>
                </c:pt>
                <c:pt idx="22">
                  <c:v>Сосновоборский</c:v>
                </c:pt>
                <c:pt idx="23">
                  <c:v>Сердобский</c:v>
                </c:pt>
                <c:pt idx="24">
                  <c:v>Башмаковский</c:v>
                </c:pt>
                <c:pt idx="25">
                  <c:v>Кузнецкий</c:v>
                </c:pt>
                <c:pt idx="26">
                  <c:v>Шемышейский</c:v>
                </c:pt>
                <c:pt idx="27">
                  <c:v>Городищенский</c:v>
                </c:pt>
                <c:pt idx="28">
                  <c:v>Колышлейский</c:v>
                </c:pt>
                <c:pt idx="29">
                  <c:v>г. Пенза</c:v>
                </c:pt>
              </c:strCache>
            </c:strRef>
          </c:cat>
          <c:val>
            <c:numRef>
              <c:f>'сводный индекс'!$B$2:$B$31</c:f>
              <c:numCache>
                <c:formatCode>0.00</c:formatCode>
                <c:ptCount val="30"/>
                <c:pt idx="0">
                  <c:v>232.17785903689492</c:v>
                </c:pt>
                <c:pt idx="1">
                  <c:v>45.010254528441315</c:v>
                </c:pt>
                <c:pt idx="2">
                  <c:v>39.161709289562566</c:v>
                </c:pt>
                <c:pt idx="3">
                  <c:v>38.191705612372019</c:v>
                </c:pt>
                <c:pt idx="4">
                  <c:v>35.730643117565563</c:v>
                </c:pt>
                <c:pt idx="5">
                  <c:v>27.431535419793569</c:v>
                </c:pt>
                <c:pt idx="6">
                  <c:v>26.838345988363798</c:v>
                </c:pt>
                <c:pt idx="7">
                  <c:v>26.79200941863985</c:v>
                </c:pt>
                <c:pt idx="8">
                  <c:v>26.095035465317522</c:v>
                </c:pt>
                <c:pt idx="9">
                  <c:v>24.495203139301346</c:v>
                </c:pt>
                <c:pt idx="10">
                  <c:v>24.368635809309144</c:v>
                </c:pt>
                <c:pt idx="11">
                  <c:v>24.330810232446474</c:v>
                </c:pt>
                <c:pt idx="12">
                  <c:v>20.568747470176159</c:v>
                </c:pt>
                <c:pt idx="13">
                  <c:v>20.181359978206924</c:v>
                </c:pt>
                <c:pt idx="14">
                  <c:v>19.749683603504472</c:v>
                </c:pt>
                <c:pt idx="15">
                  <c:v>18.291316551493559</c:v>
                </c:pt>
                <c:pt idx="16">
                  <c:v>17.836609655951332</c:v>
                </c:pt>
                <c:pt idx="17">
                  <c:v>16.13507200841034</c:v>
                </c:pt>
                <c:pt idx="18">
                  <c:v>15.840261424868958</c:v>
                </c:pt>
                <c:pt idx="19">
                  <c:v>14.907184918393853</c:v>
                </c:pt>
                <c:pt idx="20">
                  <c:v>14.833094085562665</c:v>
                </c:pt>
                <c:pt idx="21">
                  <c:v>12.990607220340173</c:v>
                </c:pt>
                <c:pt idx="22">
                  <c:v>12.675439277856192</c:v>
                </c:pt>
                <c:pt idx="23">
                  <c:v>12.295340880254239</c:v>
                </c:pt>
                <c:pt idx="24">
                  <c:v>10.726037255968501</c:v>
                </c:pt>
                <c:pt idx="25">
                  <c:v>10.547580556621803</c:v>
                </c:pt>
                <c:pt idx="26">
                  <c:v>9.8745001783299209</c:v>
                </c:pt>
                <c:pt idx="27">
                  <c:v>9.0110549610916006</c:v>
                </c:pt>
                <c:pt idx="28">
                  <c:v>8.2018306133420129</c:v>
                </c:pt>
                <c:pt idx="29">
                  <c:v>6.4659335769769344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42B-44B6-9077-ABD7CFDB2B1C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409515056"/>
        <c:axId val="504377504"/>
      </c:barChart>
      <c:catAx>
        <c:axId val="40951505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04377504"/>
        <c:crosses val="autoZero"/>
        <c:auto val="1"/>
        <c:lblAlgn val="ctr"/>
        <c:lblOffset val="100"/>
        <c:noMultiLvlLbl val="0"/>
      </c:catAx>
      <c:valAx>
        <c:axId val="504377504"/>
        <c:scaling>
          <c:orientation val="minMax"/>
        </c:scaling>
        <c:delete val="1"/>
        <c:axPos val="b"/>
        <c:numFmt formatCode="0.00" sourceLinked="1"/>
        <c:majorTickMark val="none"/>
        <c:minorTickMark val="none"/>
        <c:tickLblPos val="nextTo"/>
        <c:crossAx val="4095150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2541585168096026"/>
          <c:y val="9.8112663662706916E-3"/>
          <c:w val="0.77458414831903977"/>
          <c:h val="0.97109826589595372"/>
        </c:manualLayout>
      </c:layout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 w="12700">
              <a:solidFill>
                <a:schemeClr val="accent1"/>
              </a:solidFill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 w="12700">
                <a:solidFill>
                  <a:schemeClr val="accent1"/>
                </a:solidFill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BD99-4B5E-91FB-6405B26FE09F}"/>
              </c:ext>
            </c:extLst>
          </c:dPt>
          <c:dPt>
            <c:idx val="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7E41-4974-B4C4-C55CA732C946}"/>
              </c:ext>
            </c:extLst>
          </c:dPt>
          <c:dPt>
            <c:idx val="4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7E41-4974-B4C4-C55CA732C946}"/>
              </c:ext>
            </c:extLst>
          </c:dPt>
          <c:dPt>
            <c:idx val="10"/>
            <c:invertIfNegative val="0"/>
            <c:bubble3D val="0"/>
            <c:spPr>
              <a:solidFill>
                <a:schemeClr val="accent2"/>
              </a:solidFill>
              <a:ln>
                <a:solidFill>
                  <a:srgbClr val="C00000"/>
                </a:solidFill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7E41-4974-B4C4-C55CA732C946}"/>
              </c:ext>
            </c:extLst>
          </c:dPt>
          <c:dLbls>
            <c:dLbl>
              <c:idx val="1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chemeClr val="accent2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7E41-4974-B4C4-C55CA732C94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'График 1'!$B$2:$B$31</c:f>
              <c:strCache>
                <c:ptCount val="30"/>
                <c:pt idx="0">
                  <c:v>Лопатинский</c:v>
                </c:pt>
                <c:pt idx="1">
                  <c:v>Вадинский</c:v>
                </c:pt>
                <c:pt idx="2">
                  <c:v>Пачелмский</c:v>
                </c:pt>
                <c:pt idx="3">
                  <c:v>Башмаковский</c:v>
                </c:pt>
                <c:pt idx="4">
                  <c:v>Наровчатский</c:v>
                </c:pt>
                <c:pt idx="5">
                  <c:v>Бессоновский</c:v>
                </c:pt>
                <c:pt idx="6">
                  <c:v>Малосердобинский</c:v>
                </c:pt>
                <c:pt idx="7">
                  <c:v>Лунинский</c:v>
                </c:pt>
                <c:pt idx="8">
                  <c:v>Сосновоборский</c:v>
                </c:pt>
                <c:pt idx="9">
                  <c:v>Кузнецкий</c:v>
                </c:pt>
                <c:pt idx="10">
                  <c:v>Среднее значение</c:v>
                </c:pt>
                <c:pt idx="11">
                  <c:v>Неверкинский </c:v>
                </c:pt>
                <c:pt idx="12">
                  <c:v>Мокшанский</c:v>
                </c:pt>
                <c:pt idx="13">
                  <c:v>Бековский</c:v>
                </c:pt>
                <c:pt idx="14">
                  <c:v>Спасский</c:v>
                </c:pt>
                <c:pt idx="15">
                  <c:v>Земетчинский</c:v>
                </c:pt>
                <c:pt idx="16">
                  <c:v>Пензенский</c:v>
                </c:pt>
                <c:pt idx="17">
                  <c:v>Камешкирский</c:v>
                </c:pt>
                <c:pt idx="18">
                  <c:v>г. Кузнецк</c:v>
                </c:pt>
                <c:pt idx="19">
                  <c:v>Шемышейский</c:v>
                </c:pt>
                <c:pt idx="20">
                  <c:v>Городищенский</c:v>
                </c:pt>
                <c:pt idx="21">
                  <c:v>Нижнеломовский</c:v>
                </c:pt>
                <c:pt idx="22">
                  <c:v>Белинский</c:v>
                </c:pt>
                <c:pt idx="23">
                  <c:v>Колышлейский</c:v>
                </c:pt>
                <c:pt idx="24">
                  <c:v>Иссинский</c:v>
                </c:pt>
                <c:pt idx="25">
                  <c:v>Сердобский</c:v>
                </c:pt>
                <c:pt idx="26">
                  <c:v>г. Пенза</c:v>
                </c:pt>
                <c:pt idx="27">
                  <c:v>Каменский</c:v>
                </c:pt>
                <c:pt idx="28">
                  <c:v>Тамалинский</c:v>
                </c:pt>
                <c:pt idx="29">
                  <c:v>Никольский</c:v>
                </c:pt>
              </c:strCache>
            </c:strRef>
          </c:cat>
          <c:val>
            <c:numRef>
              <c:f>'График 1'!$C$2:$C$31</c:f>
              <c:numCache>
                <c:formatCode>0.00</c:formatCode>
                <c:ptCount val="30"/>
                <c:pt idx="0">
                  <c:v>552.51318944844127</c:v>
                </c:pt>
                <c:pt idx="1">
                  <c:v>192.51692307692306</c:v>
                </c:pt>
                <c:pt idx="2">
                  <c:v>140.55499999999998</c:v>
                </c:pt>
                <c:pt idx="3">
                  <c:v>78.507199728951406</c:v>
                </c:pt>
                <c:pt idx="4">
                  <c:v>73.929460750295945</c:v>
                </c:pt>
                <c:pt idx="5">
                  <c:v>72.597061402723853</c:v>
                </c:pt>
                <c:pt idx="6">
                  <c:v>72.518701191944103</c:v>
                </c:pt>
                <c:pt idx="7">
                  <c:v>65.529966703662623</c:v>
                </c:pt>
                <c:pt idx="8">
                  <c:v>60.536066818526955</c:v>
                </c:pt>
                <c:pt idx="9">
                  <c:v>58.857692980920717</c:v>
                </c:pt>
                <c:pt idx="10">
                  <c:v>58.403132544569637</c:v>
                </c:pt>
                <c:pt idx="11">
                  <c:v>41.412765957446808</c:v>
                </c:pt>
                <c:pt idx="12">
                  <c:v>34.958089171974521</c:v>
                </c:pt>
                <c:pt idx="13">
                  <c:v>34.464981110142396</c:v>
                </c:pt>
                <c:pt idx="14">
                  <c:v>33.45937741472568</c:v>
                </c:pt>
                <c:pt idx="15">
                  <c:v>30.864515734051672</c:v>
                </c:pt>
                <c:pt idx="16">
                  <c:v>27.298509763008454</c:v>
                </c:pt>
                <c:pt idx="17">
                  <c:v>26.072559366754618</c:v>
                </c:pt>
                <c:pt idx="18">
                  <c:v>20.061900877014068</c:v>
                </c:pt>
                <c:pt idx="19">
                  <c:v>16.128615384615387</c:v>
                </c:pt>
                <c:pt idx="20">
                  <c:v>12.975993016150145</c:v>
                </c:pt>
                <c:pt idx="21">
                  <c:v>11.750253719418716</c:v>
                </c:pt>
                <c:pt idx="22">
                  <c:v>10.179654510556611</c:v>
                </c:pt>
                <c:pt idx="23">
                  <c:v>6.4252432155658052</c:v>
                </c:pt>
                <c:pt idx="24">
                  <c:v>5.4069902912621366</c:v>
                </c:pt>
                <c:pt idx="25">
                  <c:v>4.7888220522104783</c:v>
                </c:pt>
                <c:pt idx="26">
                  <c:v>2.9374146855133931</c:v>
                </c:pt>
                <c:pt idx="27">
                  <c:v>2.583993131737095</c:v>
                </c:pt>
                <c:pt idx="28">
                  <c:v>2.3317800559179958</c:v>
                </c:pt>
                <c:pt idx="29">
                  <c:v>1.5281222320637755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7E41-4974-B4C4-C55CA732C946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0"/>
        <c:axId val="186020992"/>
        <c:axId val="186022528"/>
      </c:barChart>
      <c:catAx>
        <c:axId val="18602099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86022528"/>
        <c:crosses val="autoZero"/>
        <c:auto val="1"/>
        <c:lblAlgn val="ctr"/>
        <c:lblOffset val="100"/>
        <c:noMultiLvlLbl val="0"/>
      </c:catAx>
      <c:valAx>
        <c:axId val="186022528"/>
        <c:scaling>
          <c:orientation val="minMax"/>
        </c:scaling>
        <c:delete val="1"/>
        <c:axPos val="b"/>
        <c:numFmt formatCode="0.00" sourceLinked="1"/>
        <c:majorTickMark val="none"/>
        <c:minorTickMark val="none"/>
        <c:tickLblPos val="nextTo"/>
        <c:crossAx val="1860209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 w="12700">
              <a:solidFill>
                <a:schemeClr val="accent1"/>
              </a:solidFill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Pt>
            <c:idx val="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633C-4DAA-A8BC-AEAFB04A6FAC}"/>
              </c:ext>
            </c:extLst>
          </c:dPt>
          <c:dPt>
            <c:idx val="4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633C-4DAA-A8BC-AEAFB04A6FAC}"/>
              </c:ext>
            </c:extLst>
          </c:dPt>
          <c:dPt>
            <c:idx val="6"/>
            <c:invertIfNegative val="0"/>
            <c:bubble3D val="0"/>
            <c:spPr>
              <a:solidFill>
                <a:schemeClr val="accent2"/>
              </a:solidFill>
              <a:ln w="12700">
                <a:solidFill>
                  <a:schemeClr val="accent2"/>
                </a:solidFill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633C-4DAA-A8BC-AEAFB04A6FAC}"/>
              </c:ext>
            </c:extLst>
          </c:dPt>
          <c:dPt>
            <c:idx val="10"/>
            <c:invertIfNegative val="0"/>
            <c:bubble3D val="0"/>
            <c:spPr>
              <a:solidFill>
                <a:schemeClr val="accent1"/>
              </a:solidFill>
              <a:ln w="12700">
                <a:solidFill>
                  <a:schemeClr val="accent1"/>
                </a:solidFill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633C-4DAA-A8BC-AEAFB04A6FAC}"/>
              </c:ext>
            </c:extLst>
          </c:dPt>
          <c:dLbls>
            <c:dLbl>
              <c:idx val="6"/>
              <c:tx>
                <c:rich>
                  <a:bodyPr/>
                  <a:lstStyle/>
                  <a:p>
                    <a:fld id="{5F0544F3-2950-490C-AB29-BAA2B66CCCB8}" type="VALUE">
                      <a:rPr lang="en-US">
                        <a:solidFill>
                          <a:schemeClr val="accent2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633C-4DAA-A8BC-AEAFB04A6FA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'основные фонды средства'!$B$2:$B$31</c:f>
              <c:strCache>
                <c:ptCount val="30"/>
                <c:pt idx="0">
                  <c:v>Пачелмский</c:v>
                </c:pt>
                <c:pt idx="1">
                  <c:v>Нижнеломовский</c:v>
                </c:pt>
                <c:pt idx="2">
                  <c:v>Малосердобинский</c:v>
                </c:pt>
                <c:pt idx="3">
                  <c:v>Сердобский</c:v>
                </c:pt>
                <c:pt idx="4">
                  <c:v>Вадинский</c:v>
                </c:pt>
                <c:pt idx="5">
                  <c:v>Лопатинский</c:v>
                </c:pt>
                <c:pt idx="6">
                  <c:v>Среднее значение</c:v>
                </c:pt>
                <c:pt idx="7">
                  <c:v>Мокшанский</c:v>
                </c:pt>
                <c:pt idx="8">
                  <c:v>г. Кузнецк</c:v>
                </c:pt>
                <c:pt idx="9">
                  <c:v>Бековский</c:v>
                </c:pt>
                <c:pt idx="10">
                  <c:v>Земетчинский</c:v>
                </c:pt>
                <c:pt idx="11">
                  <c:v>г. Пенза</c:v>
                </c:pt>
                <c:pt idx="12">
                  <c:v>Белинский</c:v>
                </c:pt>
                <c:pt idx="13">
                  <c:v>Каменский</c:v>
                </c:pt>
                <c:pt idx="14">
                  <c:v>Сосновоборский</c:v>
                </c:pt>
                <c:pt idx="15">
                  <c:v>Колышлейский</c:v>
                </c:pt>
                <c:pt idx="16">
                  <c:v>Иссинский</c:v>
                </c:pt>
                <c:pt idx="17">
                  <c:v>Тамалинский</c:v>
                </c:pt>
                <c:pt idx="18">
                  <c:v>Башмаковский</c:v>
                </c:pt>
                <c:pt idx="19">
                  <c:v>Городищенский</c:v>
                </c:pt>
                <c:pt idx="20">
                  <c:v>Камешкирский</c:v>
                </c:pt>
                <c:pt idx="21">
                  <c:v>Спасский</c:v>
                </c:pt>
                <c:pt idx="22">
                  <c:v>Бессоновский</c:v>
                </c:pt>
                <c:pt idx="23">
                  <c:v>Шемышейский</c:v>
                </c:pt>
                <c:pt idx="24">
                  <c:v>Лунинский</c:v>
                </c:pt>
                <c:pt idx="25">
                  <c:v>Пензенский</c:v>
                </c:pt>
                <c:pt idx="26">
                  <c:v>Никольский</c:v>
                </c:pt>
                <c:pt idx="27">
                  <c:v>Кузнецкий</c:v>
                </c:pt>
                <c:pt idx="28">
                  <c:v>Неверкинский </c:v>
                </c:pt>
                <c:pt idx="29">
                  <c:v>Наровчатский</c:v>
                </c:pt>
              </c:strCache>
            </c:strRef>
          </c:cat>
          <c:val>
            <c:numRef>
              <c:f>'основные фонды средства'!$C$2:$C$31</c:f>
              <c:numCache>
                <c:formatCode>#,##0.00</c:formatCode>
                <c:ptCount val="30"/>
                <c:pt idx="0">
                  <c:v>428.35500974465822</c:v>
                </c:pt>
                <c:pt idx="1">
                  <c:v>89.039253957926704</c:v>
                </c:pt>
                <c:pt idx="2">
                  <c:v>72.303370786516851</c:v>
                </c:pt>
                <c:pt idx="3">
                  <c:v>55.105657110850856</c:v>
                </c:pt>
                <c:pt idx="4">
                  <c:v>48.652550529355132</c:v>
                </c:pt>
                <c:pt idx="5">
                  <c:v>42.707084757271865</c:v>
                </c:pt>
                <c:pt idx="6">
                  <c:v>31.465886220069411</c:v>
                </c:pt>
                <c:pt idx="7">
                  <c:v>16.423607540337475</c:v>
                </c:pt>
                <c:pt idx="8">
                  <c:v>16.092628996224086</c:v>
                </c:pt>
                <c:pt idx="9">
                  <c:v>13.625622684889521</c:v>
                </c:pt>
                <c:pt idx="10">
                  <c:v>13.450172525708048</c:v>
                </c:pt>
                <c:pt idx="11">
                  <c:v>10.897325275611077</c:v>
                </c:pt>
                <c:pt idx="12">
                  <c:v>10.80165947915407</c:v>
                </c:pt>
                <c:pt idx="13">
                  <c:v>9.7399821491768073</c:v>
                </c:pt>
                <c:pt idx="14">
                  <c:v>9.7122571771369728</c:v>
                </c:pt>
                <c:pt idx="15">
                  <c:v>9.2841409691629817</c:v>
                </c:pt>
                <c:pt idx="16">
                  <c:v>9.1416411016536241</c:v>
                </c:pt>
                <c:pt idx="17">
                  <c:v>9.048164446319845</c:v>
                </c:pt>
                <c:pt idx="18">
                  <c:v>8.4403881751899537</c:v>
                </c:pt>
                <c:pt idx="19">
                  <c:v>7.3417494851822003</c:v>
                </c:pt>
                <c:pt idx="20">
                  <c:v>6.1624327968482762</c:v>
                </c:pt>
                <c:pt idx="21">
                  <c:v>5.856486336510816</c:v>
                </c:pt>
                <c:pt idx="22">
                  <c:v>4.7218300689428307</c:v>
                </c:pt>
                <c:pt idx="23">
                  <c:v>4.3046893002086888</c:v>
                </c:pt>
                <c:pt idx="24">
                  <c:v>4.2078938784386137</c:v>
                </c:pt>
                <c:pt idx="25">
                  <c:v>4.1815039637527232</c:v>
                </c:pt>
                <c:pt idx="26">
                  <c:v>0.96041878104801714</c:v>
                </c:pt>
                <c:pt idx="27">
                  <c:v>0.87636906528195146</c:v>
                </c:pt>
                <c:pt idx="28">
                  <c:v>0.76419497825835958</c:v>
                </c:pt>
                <c:pt idx="29">
                  <c:v>0.31261432039642456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33C-4DAA-A8BC-AEAFB04A6FAC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186315136"/>
        <c:axId val="193859584"/>
      </c:barChart>
      <c:catAx>
        <c:axId val="18631513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93859584"/>
        <c:crosses val="autoZero"/>
        <c:auto val="1"/>
        <c:lblAlgn val="ctr"/>
        <c:lblOffset val="100"/>
        <c:noMultiLvlLbl val="0"/>
      </c:catAx>
      <c:valAx>
        <c:axId val="193859584"/>
        <c:scaling>
          <c:orientation val="minMax"/>
        </c:scaling>
        <c:delete val="1"/>
        <c:axPos val="b"/>
        <c:numFmt formatCode="#,##0.00" sourceLinked="1"/>
        <c:majorTickMark val="none"/>
        <c:minorTickMark val="none"/>
        <c:tickLblPos val="nextTo"/>
        <c:crossAx val="1863151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 w="12700">
              <a:solidFill>
                <a:schemeClr val="accent1"/>
              </a:solidFill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Pt>
            <c:idx val="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3E8D-47CA-B43A-781B1FAA926F}"/>
              </c:ext>
            </c:extLst>
          </c:dPt>
          <c:dPt>
            <c:idx val="4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3E8D-47CA-B43A-781B1FAA926F}"/>
              </c:ext>
            </c:extLst>
          </c:dPt>
          <c:dPt>
            <c:idx val="5"/>
            <c:invertIfNegative val="0"/>
            <c:bubble3D val="0"/>
            <c:spPr>
              <a:solidFill>
                <a:schemeClr val="accent2"/>
              </a:solidFill>
              <a:ln w="12700">
                <a:solidFill>
                  <a:schemeClr val="accent2"/>
                </a:solidFill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3E8D-47CA-B43A-781B1FAA926F}"/>
              </c:ext>
            </c:extLst>
          </c:dPt>
          <c:dPt>
            <c:idx val="10"/>
            <c:invertIfNegative val="0"/>
            <c:bubble3D val="0"/>
            <c:spPr>
              <a:solidFill>
                <a:schemeClr val="accent1"/>
              </a:solidFill>
              <a:ln w="12700">
                <a:solidFill>
                  <a:schemeClr val="accent1"/>
                </a:solidFill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3E8D-47CA-B43A-781B1FAA926F}"/>
              </c:ext>
            </c:extLst>
          </c:dPt>
          <c:dLbls>
            <c:dLbl>
              <c:idx val="5"/>
              <c:tx>
                <c:rich>
                  <a:bodyPr/>
                  <a:lstStyle/>
                  <a:p>
                    <a:fld id="{DC2F213E-8AEC-4030-AF2F-89624D08E218}" type="VALUE">
                      <a:rPr lang="en-US">
                        <a:solidFill>
                          <a:schemeClr val="accent2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3E8D-47CA-B43A-781B1FAA926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'амортиз осн фондов'!$B$2:$B$31</c:f>
              <c:strCache>
                <c:ptCount val="30"/>
                <c:pt idx="0">
                  <c:v>Малосердобинский</c:v>
                </c:pt>
                <c:pt idx="1">
                  <c:v>Тамалинский</c:v>
                </c:pt>
                <c:pt idx="2">
                  <c:v>Спасский</c:v>
                </c:pt>
                <c:pt idx="3">
                  <c:v>Лунинский</c:v>
                </c:pt>
                <c:pt idx="4">
                  <c:v>Неверкинский </c:v>
                </c:pt>
                <c:pt idx="5">
                  <c:v>Среднее значение</c:v>
                </c:pt>
                <c:pt idx="6">
                  <c:v>Камешкирский</c:v>
                </c:pt>
                <c:pt idx="7">
                  <c:v>г. Кузнецк</c:v>
                </c:pt>
                <c:pt idx="8">
                  <c:v>Мокшанский</c:v>
                </c:pt>
                <c:pt idx="9">
                  <c:v>Наровчатский</c:v>
                </c:pt>
                <c:pt idx="10">
                  <c:v>Кузнецкий</c:v>
                </c:pt>
                <c:pt idx="11">
                  <c:v>Нижнеломовский</c:v>
                </c:pt>
                <c:pt idx="12">
                  <c:v>Вадинский</c:v>
                </c:pt>
                <c:pt idx="13">
                  <c:v>Никольский</c:v>
                </c:pt>
                <c:pt idx="14">
                  <c:v>Каменский</c:v>
                </c:pt>
                <c:pt idx="15">
                  <c:v>Башмаковский</c:v>
                </c:pt>
                <c:pt idx="16">
                  <c:v>Сердобский</c:v>
                </c:pt>
                <c:pt idx="17">
                  <c:v>Лопатинский</c:v>
                </c:pt>
                <c:pt idx="18">
                  <c:v>Бессоновский</c:v>
                </c:pt>
                <c:pt idx="19">
                  <c:v>Сосновоборский</c:v>
                </c:pt>
                <c:pt idx="20">
                  <c:v>Бековский</c:v>
                </c:pt>
                <c:pt idx="21">
                  <c:v>Иссинский</c:v>
                </c:pt>
                <c:pt idx="22">
                  <c:v>Пензенский</c:v>
                </c:pt>
                <c:pt idx="23">
                  <c:v>Городищенский</c:v>
                </c:pt>
                <c:pt idx="24">
                  <c:v>Шемышейский</c:v>
                </c:pt>
                <c:pt idx="25">
                  <c:v>Пачелмский</c:v>
                </c:pt>
                <c:pt idx="26">
                  <c:v>Белинский</c:v>
                </c:pt>
                <c:pt idx="27">
                  <c:v>г. Пенза</c:v>
                </c:pt>
                <c:pt idx="28">
                  <c:v>Земетчинский</c:v>
                </c:pt>
                <c:pt idx="29">
                  <c:v>Колышлейский</c:v>
                </c:pt>
              </c:strCache>
            </c:strRef>
          </c:cat>
          <c:val>
            <c:numRef>
              <c:f>'амортиз осн фондов'!$C$2:$C$31</c:f>
              <c:numCache>
                <c:formatCode>0.00</c:formatCode>
                <c:ptCount val="30"/>
                <c:pt idx="0">
                  <c:v>784.375</c:v>
                </c:pt>
                <c:pt idx="1">
                  <c:v>288.71449925261584</c:v>
                </c:pt>
                <c:pt idx="2">
                  <c:v>89.583333333333343</c:v>
                </c:pt>
                <c:pt idx="3">
                  <c:v>86.880466472303212</c:v>
                </c:pt>
                <c:pt idx="4">
                  <c:v>66.666666666666657</c:v>
                </c:pt>
                <c:pt idx="5">
                  <c:v>54.600325178462498</c:v>
                </c:pt>
                <c:pt idx="6">
                  <c:v>50.508568031635818</c:v>
                </c:pt>
                <c:pt idx="7">
                  <c:v>31.976309369085893</c:v>
                </c:pt>
                <c:pt idx="8">
                  <c:v>24.068319559228637</c:v>
                </c:pt>
                <c:pt idx="9">
                  <c:v>21.888535951487153</c:v>
                </c:pt>
                <c:pt idx="10">
                  <c:v>21.878335112059766</c:v>
                </c:pt>
                <c:pt idx="11">
                  <c:v>18.233618233618234</c:v>
                </c:pt>
                <c:pt idx="12">
                  <c:v>16.083916083916083</c:v>
                </c:pt>
                <c:pt idx="13">
                  <c:v>15.136212624584713</c:v>
                </c:pt>
                <c:pt idx="14">
                  <c:v>12.323529411764699</c:v>
                </c:pt>
                <c:pt idx="15">
                  <c:v>10.099766630210567</c:v>
                </c:pt>
                <c:pt idx="16">
                  <c:v>9.7323988531379282</c:v>
                </c:pt>
                <c:pt idx="17">
                  <c:v>6.6135734072022228</c:v>
                </c:pt>
                <c:pt idx="18">
                  <c:v>4.7030218825981311</c:v>
                </c:pt>
                <c:pt idx="19">
                  <c:v>4.6015712682379268</c:v>
                </c:pt>
                <c:pt idx="20">
                  <c:v>4.0836615168140877</c:v>
                </c:pt>
                <c:pt idx="21">
                  <c:v>3.1245345900486958</c:v>
                </c:pt>
                <c:pt idx="22">
                  <c:v>2.8710166450095995</c:v>
                </c:pt>
                <c:pt idx="23">
                  <c:v>2.213925704685443</c:v>
                </c:pt>
                <c:pt idx="24">
                  <c:v>2.1704221704221696</c:v>
                </c:pt>
                <c:pt idx="25">
                  <c:v>1.5624999999999944</c:v>
                </c:pt>
                <c:pt idx="26">
                  <c:v>1.3696270319862964</c:v>
                </c:pt>
                <c:pt idx="27">
                  <c:v>1.1939103218899931</c:v>
                </c:pt>
                <c:pt idx="28">
                  <c:v>0.3958432810523862</c:v>
                </c:pt>
                <c:pt idx="29">
                  <c:v>0.35634676981628699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E8D-47CA-B43A-781B1FAA926F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193889792"/>
        <c:axId val="193897600"/>
      </c:barChart>
      <c:catAx>
        <c:axId val="19388979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93897600"/>
        <c:crosses val="autoZero"/>
        <c:auto val="1"/>
        <c:lblAlgn val="ctr"/>
        <c:lblOffset val="100"/>
        <c:noMultiLvlLbl val="0"/>
      </c:catAx>
      <c:valAx>
        <c:axId val="193897600"/>
        <c:scaling>
          <c:orientation val="minMax"/>
        </c:scaling>
        <c:delete val="1"/>
        <c:axPos val="b"/>
        <c:numFmt formatCode="0.00" sourceLinked="1"/>
        <c:majorTickMark val="none"/>
        <c:minorTickMark val="none"/>
        <c:tickLblPos val="nextTo"/>
        <c:crossAx val="1938897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20665049163986043"/>
          <c:y val="2.9184655633716222E-2"/>
          <c:w val="0.74135218499147459"/>
          <c:h val="0.9552025992112515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chemeClr val="accent1"/>
            </a:solidFill>
            <a:ln w="12700"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invertIfNegative val="0"/>
          <c:dPt>
            <c:idx val="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A911-4CF4-8FC2-9E20EEB210D7}"/>
              </c:ext>
            </c:extLst>
          </c:dPt>
          <c:dPt>
            <c:idx val="4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A911-4CF4-8FC2-9E20EEB210D7}"/>
              </c:ext>
            </c:extLst>
          </c:dPt>
          <c:dPt>
            <c:idx val="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3-A911-4CF4-8FC2-9E20EEB210D7}"/>
              </c:ext>
            </c:extLst>
          </c:dPt>
          <c:dPt>
            <c:idx val="9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5-A911-4CF4-8FC2-9E20EEB210D7}"/>
              </c:ext>
            </c:extLst>
          </c:dPt>
          <c:dPt>
            <c:idx val="10"/>
            <c:invertIfNegative val="0"/>
            <c:bubble3D val="0"/>
            <c:spPr>
              <a:solidFill>
                <a:srgbClr val="C00000"/>
              </a:solidFill>
              <a:ln w="12700"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A911-4CF4-8FC2-9E20EEB210D7}"/>
              </c:ext>
            </c:extLst>
          </c:dPt>
          <c:dPt>
            <c:idx val="12"/>
            <c:invertIfNegative val="0"/>
            <c:bubble3D val="0"/>
            <c:spPr>
              <a:solidFill>
                <a:srgbClr val="0070C0"/>
              </a:solidFill>
              <a:ln w="12700"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A911-4CF4-8FC2-9E20EEB210D7}"/>
              </c:ext>
            </c:extLst>
          </c:dPt>
          <c:dPt>
            <c:idx val="1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B-A911-4CF4-8FC2-9E20EEB210D7}"/>
              </c:ext>
            </c:extLst>
          </c:dPt>
          <c:dLbls>
            <c:dLbl>
              <c:idx val="10"/>
              <c:tx>
                <c:rich>
                  <a:bodyPr/>
                  <a:lstStyle/>
                  <a:p>
                    <a:fld id="{2144A386-99EC-4EF8-92DB-026975057102}" type="VALUE">
                      <a:rPr lang="en-US">
                        <a:solidFill>
                          <a:schemeClr val="accent2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A911-4CF4-8FC2-9E20EEB210D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'прибыль прибыльных'!$B$2:$B$31</c:f>
              <c:strCache>
                <c:ptCount val="30"/>
                <c:pt idx="0">
                  <c:v>Наровчатский</c:v>
                </c:pt>
                <c:pt idx="1">
                  <c:v>Вадинский</c:v>
                </c:pt>
                <c:pt idx="2">
                  <c:v>Иссинский</c:v>
                </c:pt>
                <c:pt idx="3">
                  <c:v>Городищенский</c:v>
                </c:pt>
                <c:pt idx="4">
                  <c:v>Тамалинский</c:v>
                </c:pt>
                <c:pt idx="5">
                  <c:v>Нижнеломовский</c:v>
                </c:pt>
                <c:pt idx="6">
                  <c:v>Малосердобинский</c:v>
                </c:pt>
                <c:pt idx="7">
                  <c:v>Лунинский</c:v>
                </c:pt>
                <c:pt idx="8">
                  <c:v>Мокшанский</c:v>
                </c:pt>
                <c:pt idx="9">
                  <c:v>Неверкинский </c:v>
                </c:pt>
                <c:pt idx="10">
                  <c:v>Среднее значение</c:v>
                </c:pt>
                <c:pt idx="11">
                  <c:v>Сосновоборский</c:v>
                </c:pt>
                <c:pt idx="12">
                  <c:v>Никольский</c:v>
                </c:pt>
                <c:pt idx="13">
                  <c:v>Камешкирский</c:v>
                </c:pt>
                <c:pt idx="14">
                  <c:v>Пензенский</c:v>
                </c:pt>
                <c:pt idx="15">
                  <c:v>Спасский</c:v>
                </c:pt>
                <c:pt idx="16">
                  <c:v>Белинский</c:v>
                </c:pt>
                <c:pt idx="17">
                  <c:v>Пачелмский</c:v>
                </c:pt>
                <c:pt idx="18">
                  <c:v>Каменский</c:v>
                </c:pt>
                <c:pt idx="19">
                  <c:v>Шемышейский</c:v>
                </c:pt>
                <c:pt idx="20">
                  <c:v>Бековский</c:v>
                </c:pt>
                <c:pt idx="21">
                  <c:v>Лопатинский</c:v>
                </c:pt>
                <c:pt idx="22">
                  <c:v>Колышлейский</c:v>
                </c:pt>
                <c:pt idx="23">
                  <c:v>Башмаковский</c:v>
                </c:pt>
                <c:pt idx="24">
                  <c:v>Кузнецкий</c:v>
                </c:pt>
                <c:pt idx="25">
                  <c:v>г. Кузнецк</c:v>
                </c:pt>
                <c:pt idx="26">
                  <c:v>г. Пенза</c:v>
                </c:pt>
                <c:pt idx="27">
                  <c:v>Бессоновский</c:v>
                </c:pt>
                <c:pt idx="28">
                  <c:v>Сердобский</c:v>
                </c:pt>
                <c:pt idx="29">
                  <c:v>Земетчинский</c:v>
                </c:pt>
              </c:strCache>
            </c:strRef>
          </c:cat>
          <c:val>
            <c:numRef>
              <c:f>'прибыль прибыльных'!$C$2:$C$31</c:f>
              <c:numCache>
                <c:formatCode>0.00</c:formatCode>
                <c:ptCount val="30"/>
                <c:pt idx="0">
                  <c:v>309.48936170212761</c:v>
                </c:pt>
                <c:pt idx="1">
                  <c:v>168.5185185185185</c:v>
                </c:pt>
                <c:pt idx="2">
                  <c:v>160.17964071856287</c:v>
                </c:pt>
                <c:pt idx="3">
                  <c:v>100.57142857142858</c:v>
                </c:pt>
                <c:pt idx="4">
                  <c:v>95.606060606060595</c:v>
                </c:pt>
                <c:pt idx="5">
                  <c:v>92.30493058879847</c:v>
                </c:pt>
                <c:pt idx="6">
                  <c:v>83.643892339544507</c:v>
                </c:pt>
                <c:pt idx="7">
                  <c:v>81.304347826086953</c:v>
                </c:pt>
                <c:pt idx="8">
                  <c:v>70.62626262626263</c:v>
                </c:pt>
                <c:pt idx="9">
                  <c:v>66.375</c:v>
                </c:pt>
                <c:pt idx="10">
                  <c:v>63.186823131214098</c:v>
                </c:pt>
                <c:pt idx="11">
                  <c:v>61.170212765957444</c:v>
                </c:pt>
                <c:pt idx="12">
                  <c:v>60.298947368421054</c:v>
                </c:pt>
                <c:pt idx="13">
                  <c:v>58.599999999999994</c:v>
                </c:pt>
                <c:pt idx="14">
                  <c:v>47.095000000000006</c:v>
                </c:pt>
                <c:pt idx="15">
                  <c:v>46.590909090909108</c:v>
                </c:pt>
                <c:pt idx="16">
                  <c:v>43.697953422724069</c:v>
                </c:pt>
                <c:pt idx="17">
                  <c:v>43.560606060606062</c:v>
                </c:pt>
                <c:pt idx="18">
                  <c:v>41.897560975609757</c:v>
                </c:pt>
                <c:pt idx="19">
                  <c:v>40.833333333333336</c:v>
                </c:pt>
                <c:pt idx="20">
                  <c:v>40.200000000000003</c:v>
                </c:pt>
                <c:pt idx="21">
                  <c:v>34.865181711606105</c:v>
                </c:pt>
                <c:pt idx="22">
                  <c:v>27.575581395348834</c:v>
                </c:pt>
                <c:pt idx="23">
                  <c:v>17.554455445544551</c:v>
                </c:pt>
                <c:pt idx="24">
                  <c:v>12.636415852958072</c:v>
                </c:pt>
                <c:pt idx="25">
                  <c:v>10.253846153846151</c:v>
                </c:pt>
                <c:pt idx="26">
                  <c:v>9.1566839704799019</c:v>
                </c:pt>
                <c:pt idx="27">
                  <c:v>3.1822784810126534</c:v>
                </c:pt>
                <c:pt idx="28">
                  <c:v>2.3703703703703618</c:v>
                </c:pt>
                <c:pt idx="29">
                  <c:v>2.2590909090909008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A911-4CF4-8FC2-9E20EEB210D7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193921792"/>
        <c:axId val="193938176"/>
      </c:barChart>
      <c:catAx>
        <c:axId val="19392179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93938176"/>
        <c:crosses val="autoZero"/>
        <c:auto val="1"/>
        <c:lblAlgn val="ctr"/>
        <c:lblOffset val="100"/>
        <c:noMultiLvlLbl val="0"/>
      </c:catAx>
      <c:valAx>
        <c:axId val="193938176"/>
        <c:scaling>
          <c:orientation val="minMax"/>
        </c:scaling>
        <c:delete val="1"/>
        <c:axPos val="b"/>
        <c:numFmt formatCode="0.00" sourceLinked="1"/>
        <c:majorTickMark val="none"/>
        <c:minorTickMark val="none"/>
        <c:tickLblPos val="nextTo"/>
        <c:crossAx val="193921792"/>
        <c:crosses val="autoZero"/>
        <c:crossBetween val="between"/>
      </c:valAx>
      <c:spPr>
        <a:noFill/>
        <a:ln>
          <a:solidFill>
            <a:schemeClr val="bg1"/>
          </a:solidFill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bg1"/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0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20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F54D9-082C-4372-A4D0-EDA49FF07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37</Pages>
  <Words>6267</Words>
  <Characters>35725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Cубботина</cp:lastModifiedBy>
  <cp:revision>8</cp:revision>
  <cp:lastPrinted>2024-10-11T11:21:00Z</cp:lastPrinted>
  <dcterms:created xsi:type="dcterms:W3CDTF">2025-10-28T07:37:00Z</dcterms:created>
  <dcterms:modified xsi:type="dcterms:W3CDTF">2025-10-28T07:50:00Z</dcterms:modified>
</cp:coreProperties>
</file>